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C5A" w:rsidRDefault="00665C5A" w:rsidP="001761FF">
      <w:pPr>
        <w:pStyle w:val="BodyText"/>
        <w:jc w:val="both"/>
        <w:outlineLvl w:val="0"/>
        <w:rPr>
          <w:rFonts w:ascii="Arial" w:hAnsi="Arial" w:cs="Arial"/>
          <w:b/>
          <w:smallCaps/>
          <w:lang w:val="en-GB"/>
        </w:rPr>
      </w:pPr>
    </w:p>
    <w:p w:rsidR="00665C5A" w:rsidRDefault="00665C5A" w:rsidP="001761FF">
      <w:pPr>
        <w:rPr>
          <w:rFonts w:ascii="Arial" w:hAnsi="Arial" w:cs="Arial"/>
          <w:b/>
          <w:smallCaps/>
          <w:lang w:val="en-GB"/>
        </w:rPr>
      </w:pPr>
    </w:p>
    <w:p w:rsidR="00665C5A" w:rsidRPr="00440B9F" w:rsidRDefault="00665C5A" w:rsidP="001761FF">
      <w:pPr>
        <w:pStyle w:val="BodyText"/>
        <w:jc w:val="both"/>
        <w:outlineLvl w:val="0"/>
        <w:rPr>
          <w:rFonts w:ascii="Arial" w:hAnsi="Arial" w:cs="Arial"/>
          <w:b/>
          <w:smallCaps/>
          <w:sz w:val="22"/>
          <w:szCs w:val="22"/>
          <w:lang w:val="en-GB"/>
        </w:rPr>
      </w:pPr>
    </w:p>
    <w:p w:rsidR="00665C5A" w:rsidRPr="00440B9F" w:rsidRDefault="00665C5A" w:rsidP="001761FF">
      <w:pPr>
        <w:pStyle w:val="BodyText"/>
        <w:jc w:val="both"/>
        <w:outlineLvl w:val="0"/>
        <w:rPr>
          <w:rFonts w:ascii="Arial" w:hAnsi="Arial" w:cs="Arial"/>
          <w:b/>
          <w:smallCaps/>
          <w:sz w:val="22"/>
          <w:szCs w:val="22"/>
          <w:lang w:val="en-GB"/>
        </w:rPr>
      </w:pPr>
    </w:p>
    <w:p w:rsidR="00665C5A" w:rsidRPr="00440B9F" w:rsidRDefault="00665C5A" w:rsidP="001761FF">
      <w:pPr>
        <w:pStyle w:val="BodyText"/>
        <w:jc w:val="both"/>
        <w:outlineLvl w:val="0"/>
        <w:rPr>
          <w:rFonts w:ascii="Arial" w:hAnsi="Arial" w:cs="Arial"/>
          <w:b/>
          <w:smallCaps/>
          <w:sz w:val="22"/>
          <w:szCs w:val="22"/>
          <w:lang w:val="en-GB"/>
        </w:rPr>
      </w:pPr>
    </w:p>
    <w:p w:rsidR="00665C5A" w:rsidRPr="00440B9F" w:rsidRDefault="00665C5A" w:rsidP="001761FF">
      <w:pPr>
        <w:pStyle w:val="BodyText"/>
        <w:jc w:val="both"/>
        <w:outlineLvl w:val="0"/>
        <w:rPr>
          <w:rFonts w:ascii="Arial" w:hAnsi="Arial" w:cs="Arial"/>
          <w:b/>
          <w:smallCaps/>
          <w:sz w:val="22"/>
          <w:szCs w:val="22"/>
          <w:lang w:val="en-GB"/>
        </w:rPr>
      </w:pPr>
    </w:p>
    <w:p w:rsidR="00665C5A" w:rsidRPr="00440B9F" w:rsidRDefault="00665C5A" w:rsidP="001761FF">
      <w:pPr>
        <w:pStyle w:val="BodyText"/>
        <w:jc w:val="center"/>
        <w:outlineLvl w:val="0"/>
        <w:rPr>
          <w:rFonts w:ascii="Arial" w:hAnsi="Arial" w:cs="Arial"/>
          <w:b/>
          <w:smallCaps/>
          <w:sz w:val="22"/>
          <w:szCs w:val="22"/>
          <w:lang w:val="en-GB"/>
        </w:rPr>
      </w:pPr>
    </w:p>
    <w:p w:rsidR="00665C5A" w:rsidRPr="00440B9F" w:rsidRDefault="00665C5A" w:rsidP="001761FF">
      <w:pPr>
        <w:pStyle w:val="BodyText"/>
        <w:jc w:val="center"/>
        <w:outlineLvl w:val="0"/>
        <w:rPr>
          <w:rFonts w:ascii="Arial" w:hAnsi="Arial" w:cs="Arial"/>
          <w:b/>
          <w:smallCaps/>
          <w:sz w:val="22"/>
          <w:szCs w:val="22"/>
          <w:lang w:val="en-GB"/>
        </w:rPr>
      </w:pPr>
      <w:r w:rsidRPr="00440B9F">
        <w:rPr>
          <w:rFonts w:ascii="Arial" w:hAnsi="Arial" w:cs="Arial"/>
          <w:b/>
          <w:smallCaps/>
          <w:sz w:val="22"/>
          <w:szCs w:val="22"/>
          <w:lang w:val="en-GB"/>
        </w:rPr>
        <w:t>Chapter Five:</w:t>
      </w:r>
    </w:p>
    <w:p w:rsidR="00665C5A" w:rsidRPr="00440B9F" w:rsidRDefault="00665C5A" w:rsidP="001761FF">
      <w:pPr>
        <w:pStyle w:val="BodyText"/>
        <w:jc w:val="center"/>
        <w:outlineLvl w:val="0"/>
        <w:rPr>
          <w:rFonts w:ascii="Arial" w:hAnsi="Arial" w:cs="Arial"/>
          <w:smallCaps/>
          <w:sz w:val="22"/>
          <w:szCs w:val="22"/>
          <w:lang w:val="en-GB"/>
        </w:rPr>
      </w:pPr>
      <w:r w:rsidRPr="00440B9F">
        <w:rPr>
          <w:rFonts w:ascii="Arial" w:hAnsi="Arial" w:cs="Arial"/>
          <w:b/>
          <w:smallCaps/>
          <w:sz w:val="22"/>
          <w:szCs w:val="22"/>
          <w:lang w:val="en-GB"/>
        </w:rPr>
        <w:t>Mothering the Protestant Circle</w:t>
      </w:r>
    </w:p>
    <w:p w:rsidR="00665C5A" w:rsidRPr="00440B9F" w:rsidRDefault="00665C5A" w:rsidP="001761FF">
      <w:pPr>
        <w:pStyle w:val="BodyText"/>
        <w:jc w:val="both"/>
        <w:outlineLvl w:val="0"/>
        <w:rPr>
          <w:rFonts w:ascii="Arial" w:hAnsi="Arial" w:cs="Arial"/>
          <w:smallCaps/>
          <w:sz w:val="22"/>
          <w:szCs w:val="22"/>
          <w:lang w:val="en-GB"/>
        </w:rPr>
      </w:pPr>
    </w:p>
    <w:p w:rsidR="00665C5A" w:rsidRPr="00440B9F" w:rsidRDefault="00665C5A" w:rsidP="001761FF">
      <w:pPr>
        <w:pStyle w:val="BodyText"/>
        <w:jc w:val="both"/>
        <w:outlineLvl w:val="0"/>
        <w:rPr>
          <w:rFonts w:ascii="Arial" w:hAnsi="Arial" w:cs="Arial"/>
          <w:smallCaps/>
          <w:sz w:val="22"/>
          <w:szCs w:val="22"/>
          <w:lang w:val="en-GB"/>
        </w:rPr>
      </w:pPr>
    </w:p>
    <w:p w:rsidR="00665C5A" w:rsidRPr="00440B9F" w:rsidRDefault="00665C5A" w:rsidP="001761FF">
      <w:pPr>
        <w:pStyle w:val="BodyText"/>
        <w:jc w:val="both"/>
        <w:outlineLvl w:val="0"/>
        <w:rPr>
          <w:rFonts w:ascii="Arial" w:hAnsi="Arial" w:cs="Arial"/>
          <w:smallCaps/>
          <w:sz w:val="22"/>
          <w:szCs w:val="22"/>
          <w:lang w:val="en-GB"/>
        </w:rPr>
      </w:pPr>
    </w:p>
    <w:p w:rsidR="00665C5A" w:rsidRPr="00440B9F" w:rsidRDefault="00665C5A" w:rsidP="001761FF">
      <w:pPr>
        <w:pStyle w:val="BodyText"/>
        <w:jc w:val="both"/>
        <w:outlineLvl w:val="0"/>
        <w:rPr>
          <w:rFonts w:ascii="Arial" w:hAnsi="Arial" w:cs="Arial"/>
          <w:smallCaps/>
          <w:sz w:val="22"/>
          <w:szCs w:val="22"/>
          <w:lang w:val="en-GB"/>
        </w:rPr>
      </w:pPr>
    </w:p>
    <w:p w:rsidR="00665C5A" w:rsidRPr="00440B9F" w:rsidRDefault="00665C5A" w:rsidP="001761FF">
      <w:pPr>
        <w:pStyle w:val="BodyText"/>
        <w:jc w:val="both"/>
        <w:outlineLvl w:val="0"/>
        <w:rPr>
          <w:rFonts w:ascii="Arial" w:hAnsi="Arial" w:cs="Arial"/>
          <w:smallCaps/>
          <w:sz w:val="22"/>
          <w:szCs w:val="22"/>
          <w:lang w:val="en-GB"/>
        </w:rPr>
      </w:pPr>
    </w:p>
    <w:p w:rsidR="00665C5A" w:rsidRPr="00440B9F" w:rsidRDefault="00665C5A" w:rsidP="001761FF">
      <w:pPr>
        <w:pStyle w:val="BodyText"/>
        <w:jc w:val="both"/>
        <w:outlineLvl w:val="0"/>
        <w:rPr>
          <w:rFonts w:ascii="Arial" w:hAnsi="Arial" w:cs="Arial"/>
          <w:smallCaps/>
          <w:sz w:val="22"/>
          <w:szCs w:val="22"/>
          <w:lang w:val="en-GB"/>
        </w:rPr>
      </w:pPr>
    </w:p>
    <w:p w:rsidR="00665C5A" w:rsidRPr="00440B9F" w:rsidRDefault="00665C5A" w:rsidP="001761FF">
      <w:pPr>
        <w:pStyle w:val="BodyText"/>
        <w:jc w:val="both"/>
        <w:outlineLvl w:val="0"/>
        <w:rPr>
          <w:rFonts w:ascii="Arial" w:hAnsi="Arial" w:cs="Arial"/>
          <w:smallCaps/>
          <w:sz w:val="22"/>
          <w:szCs w:val="22"/>
          <w:lang w:val="en-GB"/>
        </w:rPr>
      </w:pPr>
    </w:p>
    <w:p w:rsidR="00665C5A" w:rsidRPr="00440B9F" w:rsidRDefault="00665C5A" w:rsidP="001761FF">
      <w:pPr>
        <w:pStyle w:val="BodyText"/>
        <w:jc w:val="both"/>
        <w:outlineLvl w:val="0"/>
        <w:rPr>
          <w:rFonts w:ascii="Arial" w:hAnsi="Arial" w:cs="Arial"/>
          <w:smallCaps/>
          <w:sz w:val="22"/>
          <w:szCs w:val="22"/>
          <w:lang w:val="en-GB"/>
        </w:rPr>
      </w:pPr>
    </w:p>
    <w:p w:rsidR="00665C5A" w:rsidRPr="00440B9F" w:rsidRDefault="00665C5A" w:rsidP="001761FF">
      <w:pPr>
        <w:pStyle w:val="BodyText"/>
        <w:jc w:val="both"/>
        <w:outlineLvl w:val="0"/>
        <w:rPr>
          <w:rFonts w:ascii="Arial" w:hAnsi="Arial" w:cs="Arial"/>
          <w:smallCaps/>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 specific definition of gender was articulated by the members of the Protestant Circle during the creation and reproduction of their new community. The Protestants’ views of womanhood were outlined in the previous chapter, where it was argued that although the idealised roles for women were narrowed to providing services for other women and their families by the late 1850s, women often subverted this ‘domestic’ focus through their actual performances of Protestantism. This chapter refines this analysis by focusing upon the Protestants’ definition of mothering and investigating how this gendered role was engaged with by the women of the Protestant Circle.</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Certain activities are perceived to be necessary and appropriate for the healthy development of children within each society. These views determine the normative definitions of ‘proper mothering’, which are contrasted to the activities deemed dangerous to both children and society. The distinction between proper and improper mothering is not universally consistent however, for like other aspects of capital, the standards of good mothering are created through the interactions amongst the women, men and children within a specific community.</w:t>
      </w:r>
      <w:r w:rsidRPr="00440B9F">
        <w:rPr>
          <w:rStyle w:val="FootnoteReference"/>
          <w:rFonts w:ascii="Palatino Linotype" w:hAnsi="Palatino Linotype"/>
          <w:sz w:val="22"/>
          <w:szCs w:val="22"/>
          <w:lang w:val="en-GB"/>
        </w:rPr>
        <w:footnoteReference w:id="2"/>
      </w:r>
      <w:r w:rsidRPr="00440B9F">
        <w:rPr>
          <w:rFonts w:ascii="Palatino Linotype" w:hAnsi="Palatino Linotype"/>
          <w:sz w:val="22"/>
          <w:szCs w:val="22"/>
          <w:lang w:val="en-GB"/>
        </w:rPr>
        <w:t xml:space="preserve"> Mothering is thus socially constructed and historically situated, and functions as another means to judge and differentiate </w:t>
      </w:r>
      <w:r w:rsidRPr="00440B9F">
        <w:rPr>
          <w:rFonts w:ascii="Palatino Linotype" w:hAnsi="Palatino Linotype"/>
          <w:sz w:val="22"/>
          <w:szCs w:val="22"/>
          <w:lang w:val="en-GB"/>
        </w:rPr>
        <w:lastRenderedPageBreak/>
        <w:t xml:space="preserve">women.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Mothering within colonial and missionary encounters has become a focus for academic research in recent years. Some scholars examine the gendering of missions and the way that women employed racial hierarchies to designate those who were in ‘need’ of reform and ‘mothering’.</w:t>
      </w:r>
      <w:r w:rsidRPr="00440B9F">
        <w:rPr>
          <w:rFonts w:ascii="Palatino Linotype" w:hAnsi="Palatino Linotype"/>
          <w:sz w:val="22"/>
          <w:szCs w:val="22"/>
          <w:vertAlign w:val="superscript"/>
          <w:lang w:val="en-GB"/>
        </w:rPr>
        <w:footnoteReference w:id="3"/>
      </w:r>
      <w:r w:rsidRPr="00440B9F">
        <w:rPr>
          <w:rFonts w:ascii="Palatino Linotype" w:hAnsi="Palatino Linotype"/>
          <w:sz w:val="22"/>
          <w:szCs w:val="22"/>
          <w:lang w:val="en-GB"/>
        </w:rPr>
        <w:t xml:space="preserve"> Another facet of research explores missionary women’s engagement with their ‘home’ culture’s views on mothering, which they performed on the mission field or in the colonies. Through this research, scholars have revealed that missionary women often reconfigured and/or subverted their home culture’s normative terms of mothering, while also judging the mothering performed by women in the ‘targeted’ societies, thus distancing themselves from both groups.</w:t>
      </w:r>
      <w:r w:rsidRPr="00440B9F">
        <w:rPr>
          <w:rFonts w:ascii="Palatino Linotype" w:hAnsi="Palatino Linotype"/>
          <w:sz w:val="22"/>
          <w:szCs w:val="22"/>
          <w:vertAlign w:val="superscript"/>
          <w:lang w:val="en-GB"/>
        </w:rPr>
        <w:footnoteReference w:id="4"/>
      </w:r>
      <w:r w:rsidRPr="00440B9F">
        <w:rPr>
          <w:rFonts w:ascii="Palatino Linotype" w:hAnsi="Palatino Linotype"/>
          <w:sz w:val="22"/>
          <w:szCs w:val="22"/>
          <w:lang w:val="en-GB"/>
        </w:rPr>
        <w:t xml:space="preserve"> A third focus of research investigates the emotional connections between missionary women and those targeted by mission work. While ‘sisterly bonds’ developed between missionary women, scholars have argued that mothering is a more accurate description of the unequal relationship between missionaries and ‘natives’ within these encounters.</w:t>
      </w:r>
      <w:r w:rsidRPr="00440B9F">
        <w:rPr>
          <w:rFonts w:ascii="Palatino Linotype" w:hAnsi="Palatino Linotype"/>
          <w:sz w:val="22"/>
          <w:szCs w:val="22"/>
          <w:vertAlign w:val="superscript"/>
          <w:lang w:val="en-GB"/>
        </w:rPr>
        <w:footnoteReference w:id="5"/>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These three focuses of research are synthesised in this chapter, where the definitions and performances of mothering are examined and analysed as a facet of Protestant capital and womanhood.</w:t>
      </w:r>
      <w:r w:rsidRPr="00440B9F">
        <w:rPr>
          <w:rStyle w:val="FootnoteReference"/>
          <w:rFonts w:ascii="Palatino Linotype" w:hAnsi="Palatino Linotype"/>
          <w:sz w:val="22"/>
          <w:szCs w:val="22"/>
          <w:lang w:val="en-GB"/>
        </w:rPr>
        <w:footnoteReference w:id="6"/>
      </w:r>
      <w:r w:rsidRPr="00440B9F">
        <w:rPr>
          <w:rFonts w:ascii="Palatino Linotype" w:hAnsi="Palatino Linotype"/>
          <w:sz w:val="22"/>
          <w:szCs w:val="22"/>
          <w:lang w:val="en-GB"/>
        </w:rPr>
        <w:t xml:space="preserve"> The first section of this chapter investigates the Protestants’ perceptions of children, who were the focus of mothering activities. The second section analyses the roles for the mother within Protestant households. Refining the material presented in the previous chapter on women’s work as the ‘housekeeper’, this section investigates the different relationships that emerged between women and the members of their ‘mosaic’ families. The final section delineates the different characteristics that defined motherhood in the Protestant Circle. It argues that some women were promoted as models for Protestant motherhood, due to their embodiment of these normative terms, while others were regarded as improper or bad mothers who negatively influenced their children. Examining these different facets of motherhood emphasises that the construction of gender and identity was a dynamic, subjective and emotional process that involved all members of the Circle.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While mothering encompasses both child-bearing and child-rearing activities, this chapter focuses primarily upon the ways that children were reared by women in this community. This is partially due to the availably of data, for most of the information found in the sources described the care given to children, rather than the details of their births. This focus also reflects the unique arrangements of Protestant households, where women often nurtured children who were not their biological offspring. Lastly, concentrating upon the reproduction of gender and mothering reinforces my argument that women’s activities were essential in developing and reproducing the Protestant community, their faith and culture. This chapter can thus be read as a compliment to previous studies, which concentrate on the activities of Protestant academic and ecclesiastical institutions, but in a manner that overlooks both the role of women as participants (or not) of these institutions and the influence of kinship in strengthening the community.</w:t>
      </w:r>
      <w:r w:rsidRPr="00440B9F">
        <w:rPr>
          <w:rFonts w:ascii="Palatino Linotype" w:hAnsi="Palatino Linotype"/>
          <w:sz w:val="22"/>
          <w:szCs w:val="22"/>
          <w:vertAlign w:val="superscript"/>
          <w:lang w:val="en-GB"/>
        </w:rPr>
        <w:footnoteReference w:id="7"/>
      </w:r>
      <w:r w:rsidRPr="00440B9F">
        <w:rPr>
          <w:rFonts w:ascii="Palatino Linotype" w:hAnsi="Palatino Linotype"/>
          <w:sz w:val="22"/>
          <w:szCs w:val="22"/>
          <w:lang w:val="en-GB"/>
        </w:rPr>
        <w:t xml:space="preserve"> Despite this feminine focus, the influence of men in regulating and judging mothering activities is also considered, although the details of how Protestant fatherhood was defined and negotiated has been left to a future study.</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p>
    <w:p w:rsidR="00665C5A" w:rsidRPr="00440B9F" w:rsidRDefault="00665C5A" w:rsidP="001761FF">
      <w:pPr>
        <w:pStyle w:val="BodyText"/>
        <w:spacing w:line="360" w:lineRule="auto"/>
        <w:jc w:val="center"/>
        <w:outlineLvl w:val="0"/>
        <w:rPr>
          <w:rFonts w:ascii="Arial" w:hAnsi="Arial" w:cs="Arial"/>
          <w:smallCaps/>
          <w:sz w:val="22"/>
          <w:szCs w:val="22"/>
          <w:lang w:val="en-GB"/>
        </w:rPr>
      </w:pPr>
      <w:r w:rsidRPr="00440B9F">
        <w:rPr>
          <w:rFonts w:ascii="Arial" w:hAnsi="Arial" w:cs="Arial"/>
          <w:smallCaps/>
          <w:sz w:val="22"/>
          <w:szCs w:val="22"/>
          <w:lang w:val="en-GB"/>
        </w:rPr>
        <w:t>Protestant Perceptions of Childhood</w:t>
      </w:r>
    </w:p>
    <w:p w:rsidR="00665C5A" w:rsidRPr="00440B9F" w:rsidRDefault="00665C5A" w:rsidP="001761FF">
      <w:pPr>
        <w:pStyle w:val="BodyText"/>
        <w:spacing w:line="360" w:lineRule="auto"/>
        <w:jc w:val="both"/>
        <w:outlineLvl w:val="0"/>
        <w:rPr>
          <w:rFonts w:ascii="Palatino Linotype" w:hAnsi="Palatino Linotype"/>
          <w:smallCaps/>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Mothering is essentially linked to what individuals in a society perceive to be the needs of a child.</w:t>
      </w:r>
      <w:r w:rsidRPr="00440B9F">
        <w:rPr>
          <w:rStyle w:val="FootnoteReference"/>
          <w:rFonts w:ascii="Palatino Linotype" w:hAnsi="Palatino Linotype"/>
          <w:sz w:val="22"/>
          <w:szCs w:val="22"/>
          <w:lang w:val="en-GB"/>
        </w:rPr>
        <w:footnoteReference w:id="8"/>
      </w:r>
      <w:r w:rsidRPr="00440B9F">
        <w:rPr>
          <w:rFonts w:ascii="Palatino Linotype" w:hAnsi="Palatino Linotype"/>
          <w:sz w:val="22"/>
          <w:szCs w:val="22"/>
          <w:lang w:val="en-GB"/>
        </w:rPr>
        <w:t xml:space="preserve"> During the period of 1823 to 1860, the Protestant Circle associated two characteristics to children: that childhood was an important period for personal development and that each child was an independent individual. Investigating these characteristics introduces the details of Protestant mothering and grants insight onto why Protestant children held relatively central positions within the social structuring of the Circle, but can not be regarded as a homogenous group.</w:t>
      </w:r>
    </w:p>
    <w:p w:rsidR="00665C5A" w:rsidRPr="00440B9F" w:rsidRDefault="00665C5A" w:rsidP="001761FF">
      <w:pPr>
        <w:pStyle w:val="BodyText"/>
        <w:spacing w:line="360" w:lineRule="auto"/>
        <w:jc w:val="both"/>
        <w:rPr>
          <w:rFonts w:ascii="Palatino Linotype" w:hAnsi="Palatino Linotype"/>
          <w:b/>
          <w:sz w:val="22"/>
          <w:szCs w:val="22"/>
          <w:lang w:val="en-GB"/>
        </w:rPr>
      </w:pPr>
      <w:r w:rsidRPr="00440B9F">
        <w:rPr>
          <w:rFonts w:ascii="Palatino Linotype" w:hAnsi="Palatino Linotype"/>
          <w:sz w:val="22"/>
          <w:szCs w:val="22"/>
          <w:lang w:val="en-GB"/>
        </w:rPr>
        <w:tab/>
        <w:t>Childhood for the Protestant community was an important period for individuals’ ideological and religious development. Children were regarded as being especially impressionable from the age of six until the onset of adulthood, which occurred between fourteen and eighteen years old.</w:t>
      </w:r>
      <w:r w:rsidRPr="00440B9F">
        <w:rPr>
          <w:rStyle w:val="FootnoteReference"/>
          <w:rFonts w:ascii="Palatino Linotype" w:hAnsi="Palatino Linotype"/>
          <w:sz w:val="22"/>
          <w:szCs w:val="22"/>
          <w:lang w:val="en-GB"/>
        </w:rPr>
        <w:footnoteReference w:id="9"/>
      </w:r>
      <w:r w:rsidRPr="00440B9F">
        <w:rPr>
          <w:rFonts w:ascii="Palatino Linotype" w:hAnsi="Palatino Linotype"/>
          <w:sz w:val="22"/>
          <w:szCs w:val="22"/>
          <w:lang w:val="en-GB"/>
        </w:rPr>
        <w:t xml:space="preserve"> As a result, the Protestants’ religious and educational services often targeted children of these ages, although children as young as two also received religious instruction.</w:t>
      </w:r>
      <w:r w:rsidRPr="00440B9F">
        <w:rPr>
          <w:rStyle w:val="FootnoteReference"/>
          <w:rFonts w:ascii="Palatino Linotype" w:hAnsi="Palatino Linotype"/>
          <w:sz w:val="22"/>
          <w:szCs w:val="22"/>
          <w:lang w:val="en-GB"/>
        </w:rPr>
        <w:footnoteReference w:id="10"/>
      </w:r>
      <w:r w:rsidRPr="00440B9F">
        <w:rPr>
          <w:rFonts w:ascii="Palatino Linotype" w:hAnsi="Palatino Linotype"/>
          <w:b/>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b/>
          <w:sz w:val="22"/>
          <w:szCs w:val="22"/>
          <w:lang w:val="en-GB"/>
        </w:rPr>
        <w:tab/>
      </w:r>
      <w:r w:rsidRPr="00440B9F">
        <w:rPr>
          <w:rFonts w:ascii="Palatino Linotype" w:hAnsi="Palatino Linotype"/>
          <w:sz w:val="22"/>
          <w:szCs w:val="22"/>
          <w:lang w:val="en-GB"/>
        </w:rPr>
        <w:t>The belief in the malleability of human development was influenced by the reformed Calvinism that emerged within American Protestantism during the early nineteenth century.</w:t>
      </w:r>
      <w:r w:rsidRPr="00440B9F">
        <w:rPr>
          <w:rStyle w:val="FootnoteReference"/>
          <w:rFonts w:ascii="Palatino Linotype" w:hAnsi="Palatino Linotype"/>
          <w:sz w:val="22"/>
          <w:szCs w:val="22"/>
          <w:lang w:val="en-GB"/>
        </w:rPr>
        <w:footnoteReference w:id="11"/>
      </w:r>
      <w:r w:rsidRPr="00440B9F">
        <w:rPr>
          <w:rFonts w:ascii="Palatino Linotype" w:hAnsi="Palatino Linotype"/>
          <w:sz w:val="22"/>
          <w:szCs w:val="22"/>
          <w:lang w:val="en-GB"/>
        </w:rPr>
        <w:t xml:space="preserve"> According to this theology, the good or bad behaviour of adults was not regarded as a sign of pre-determined salvation or damnation, but the result of a gradual process of refinement or corruption. Like their contemporaries living in the United States, many in the Protestant Circle believed that the faults of adulthood, which included the adherence to superstitions, false religious doctrines, drunkenness, violence and crassness, were the by-products of poorly trained children.</w:t>
      </w:r>
      <w:r w:rsidRPr="00440B9F">
        <w:rPr>
          <w:rStyle w:val="FootnoteReference"/>
          <w:rFonts w:ascii="Palatino Linotype" w:hAnsi="Palatino Linotype"/>
          <w:sz w:val="22"/>
          <w:szCs w:val="22"/>
          <w:lang w:val="en-GB"/>
        </w:rPr>
        <w:footnoteReference w:id="12"/>
      </w:r>
      <w:r w:rsidRPr="00440B9F">
        <w:rPr>
          <w:rFonts w:ascii="Palatino Linotype" w:hAnsi="Palatino Linotype"/>
          <w:sz w:val="22"/>
          <w:szCs w:val="22"/>
          <w:lang w:val="en-GB"/>
        </w:rPr>
        <w:t xml:space="preserve"> Accordingly, proper mothering was believed to encourage the successful development of the individual, his/her embodiment of Protestant culture and (possibly) the heavenly state of the child’s immortal soul.</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 second characteristic of childhood promoted by the Protestant Circle was that each child possessed an individual and independent temperament. Each person was regarded as the unique amalgamation of his/her parents’ biological traits and social manners, but was responsible for his/her own actions and eternal fate. Although a good child upheld the Fifth Commandment and the ‘reproof’ of Matthew 15: 5-6,</w:t>
      </w:r>
      <w:r w:rsidRPr="00440B9F">
        <w:rPr>
          <w:rStyle w:val="FootnoteReference"/>
          <w:rFonts w:ascii="Palatino Linotype" w:hAnsi="Palatino Linotype"/>
          <w:sz w:val="22"/>
          <w:szCs w:val="22"/>
          <w:lang w:val="en-GB"/>
        </w:rPr>
        <w:footnoteReference w:id="13"/>
      </w:r>
      <w:r w:rsidRPr="00440B9F">
        <w:rPr>
          <w:rFonts w:ascii="Palatino Linotype" w:hAnsi="Palatino Linotype"/>
          <w:sz w:val="22"/>
          <w:szCs w:val="22"/>
          <w:lang w:val="en-GB"/>
        </w:rPr>
        <w:t xml:space="preserve"> a child could also assert an opinion that differed from his/her parents’ beliefs.</w:t>
      </w:r>
      <w:r w:rsidRPr="00440B9F">
        <w:rPr>
          <w:rStyle w:val="FootnoteReference"/>
          <w:rFonts w:ascii="Palatino Linotype" w:hAnsi="Palatino Linotype"/>
          <w:sz w:val="22"/>
          <w:szCs w:val="22"/>
          <w:lang w:val="en-GB"/>
        </w:rPr>
        <w:footnoteReference w:id="14"/>
      </w:r>
      <w:r w:rsidRPr="00440B9F">
        <w:rPr>
          <w:rFonts w:ascii="Palatino Linotype" w:hAnsi="Palatino Linotype"/>
          <w:sz w:val="22"/>
          <w:szCs w:val="22"/>
          <w:lang w:val="en-GB"/>
        </w:rPr>
        <w:t xml:space="preserve"> The age paradox discussed in the previous chapter reflected this view for some children were regarded as intellectually superior to their parents.</w:t>
      </w:r>
      <w:r w:rsidRPr="00440B9F">
        <w:rPr>
          <w:rStyle w:val="FootnoteReference"/>
          <w:rFonts w:ascii="Palatino Linotype" w:hAnsi="Palatino Linotype"/>
          <w:sz w:val="22"/>
          <w:szCs w:val="22"/>
          <w:lang w:val="en-GB"/>
        </w:rPr>
        <w:footnoteReference w:id="15"/>
      </w:r>
      <w:r w:rsidRPr="00440B9F">
        <w:rPr>
          <w:rFonts w:ascii="Palatino Linotype" w:hAnsi="Palatino Linotype"/>
          <w:sz w:val="22"/>
          <w:szCs w:val="22"/>
          <w:lang w:val="en-GB"/>
        </w:rPr>
        <w:t xml:space="preserve"> Moreover, commitment to the Protestant Circle followed individual calling or conversion, regardless of parental wishes and objections. This conversion often distanced the Protestant from his/her family either physically, through moving to another country, or socially, through becoming a member of a different religious community; both of which emphasised the individuality of the Protestant. </w:t>
      </w:r>
    </w:p>
    <w:p w:rsidR="00665C5A" w:rsidRDefault="00665C5A" w:rsidP="001761FF">
      <w:pPr>
        <w:pStyle w:val="BodyText"/>
        <w:spacing w:line="360" w:lineRule="auto"/>
        <w:jc w:val="both"/>
        <w:rPr>
          <w:rFonts w:ascii="Palatino Linotype" w:hAnsi="Palatino Linotype"/>
          <w:lang w:val="en-GB"/>
        </w:rPr>
      </w:pPr>
      <w:r w:rsidRPr="00440B9F">
        <w:rPr>
          <w:rFonts w:ascii="Palatino Linotype" w:hAnsi="Palatino Linotype"/>
          <w:sz w:val="22"/>
          <w:szCs w:val="22"/>
          <w:lang w:val="en-GB"/>
        </w:rPr>
        <w:tab/>
        <w:t>While these two characteristics of childhood establish the basis for which Protestant motherhood can be analysed, they also illuminate an important contradiction in the Circle’s ideology. As noted above, personal, independent pursuit of revival was central to the ABCFM’s missionary endeavour. However, the need to create a sustainable, self-referencing community necessitated the view that the choice of Protestantism could be nurtured and encouraged through social networks and educational instruction. Upholding this stance allowed the Protestants to believe that individuals were capable of rejecting the ‘negative’ influences of bad mothers, while at the same time retaining the ‘positive’ influences of good mothers. This contradictory view created tensions within the Circle for it was used to judge the activities of mothers, and in so doing, emphasised the divisions and inequalities that plagued this community.</w:t>
      </w:r>
    </w:p>
    <w:p w:rsidR="00665C5A" w:rsidRDefault="00665C5A" w:rsidP="001761FF">
      <w:pPr>
        <w:pStyle w:val="BodyText"/>
        <w:spacing w:line="360" w:lineRule="auto"/>
        <w:jc w:val="both"/>
        <w:rPr>
          <w:rFonts w:ascii="Palatino Linotype" w:hAnsi="Palatino Linotype"/>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p>
    <w:p w:rsidR="00665C5A" w:rsidRPr="00440B9F" w:rsidRDefault="00665C5A" w:rsidP="001761FF">
      <w:pPr>
        <w:pStyle w:val="BodyText"/>
        <w:spacing w:line="360" w:lineRule="auto"/>
        <w:jc w:val="center"/>
        <w:outlineLvl w:val="0"/>
        <w:rPr>
          <w:rFonts w:ascii="Arial" w:hAnsi="Arial" w:cs="Arial"/>
          <w:smallCaps/>
          <w:sz w:val="22"/>
          <w:szCs w:val="22"/>
          <w:lang w:val="en-GB"/>
        </w:rPr>
      </w:pPr>
      <w:r w:rsidRPr="00440B9F">
        <w:rPr>
          <w:rFonts w:ascii="Arial" w:hAnsi="Arial" w:cs="Arial"/>
          <w:smallCaps/>
          <w:sz w:val="22"/>
          <w:szCs w:val="22"/>
          <w:lang w:val="en-GB"/>
        </w:rPr>
        <w:t>Mothering the Mosaic Family</w:t>
      </w:r>
    </w:p>
    <w:p w:rsidR="00665C5A" w:rsidRPr="00440B9F" w:rsidRDefault="00665C5A" w:rsidP="001761FF">
      <w:pPr>
        <w:pStyle w:val="BodyText"/>
        <w:spacing w:line="360" w:lineRule="auto"/>
        <w:jc w:val="both"/>
        <w:outlineLvl w:val="0"/>
        <w:rPr>
          <w:rFonts w:ascii="Palatino Linotype" w:hAnsi="Palatino Linotype"/>
          <w:smallCaps/>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Another influence on how mothering is performed and defined within a society are the structures of families and households. During the early to mid-nineteenth century, Protestant households in Ottoman Syria were neither restricted to individuals biologically related to each other, nor composed of an isolated, ‘nuclear’ family. Rather, Protestant households were, what I have labelled ‘mosaic families’, for they brought together different family units in one, shared home.</w:t>
      </w:r>
      <w:r w:rsidRPr="00440B9F">
        <w:rPr>
          <w:rStyle w:val="FootnoteReference"/>
          <w:rFonts w:ascii="Palatino Linotype" w:hAnsi="Palatino Linotype"/>
          <w:sz w:val="22"/>
          <w:szCs w:val="22"/>
          <w:lang w:val="en-GB"/>
        </w:rPr>
        <w:footnoteReference w:id="16"/>
      </w:r>
      <w:r w:rsidRPr="00440B9F">
        <w:rPr>
          <w:rFonts w:ascii="Palatino Linotype" w:hAnsi="Palatino Linotype"/>
          <w:sz w:val="22"/>
          <w:szCs w:val="22"/>
          <w:lang w:val="en-GB"/>
        </w:rPr>
        <w:t xml:space="preserve"> This section outlines the different arrangements within mosaic families and investigates how these affected women’s mothering activities. These relationships included the mothering of biological offspring, nurturing of children born to other women, ‘adopting’ boarding students and fostering ‘orphaned’ children.</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The Protestants’ mosaic family was similar to the households found in contemporary Ottoman Syria, specifically the ‘joint family household’ and </w:t>
      </w:r>
      <w:r w:rsidRPr="00440B9F">
        <w:rPr>
          <w:rFonts w:ascii="Palatino Linotype" w:hAnsi="Palatino Linotype"/>
          <w:i/>
          <w:sz w:val="22"/>
          <w:szCs w:val="22"/>
          <w:lang w:val="en-GB"/>
        </w:rPr>
        <w:t>hane</w:t>
      </w:r>
      <w:r w:rsidRPr="00440B9F">
        <w:rPr>
          <w:rFonts w:ascii="Palatino Linotype" w:hAnsi="Palatino Linotype"/>
          <w:sz w:val="22"/>
          <w:szCs w:val="22"/>
          <w:lang w:val="en-GB"/>
        </w:rPr>
        <w:t xml:space="preserve"> structures. Historians have argued that the joint family structure brought together different conjugal couples under one household. This differed from the mosaic family however, for the units of the joint family household functioned separately and often independently of each other.</w:t>
      </w:r>
      <w:r w:rsidRPr="00440B9F">
        <w:rPr>
          <w:rFonts w:ascii="Palatino Linotype" w:hAnsi="Palatino Linotype"/>
          <w:sz w:val="22"/>
          <w:szCs w:val="22"/>
          <w:vertAlign w:val="superscript"/>
          <w:lang w:val="en-GB"/>
        </w:rPr>
        <w:footnoteReference w:id="17"/>
      </w:r>
      <w:r w:rsidRPr="00440B9F">
        <w:rPr>
          <w:rFonts w:ascii="Palatino Linotype" w:hAnsi="Palatino Linotype"/>
          <w:sz w:val="22"/>
          <w:szCs w:val="22"/>
          <w:lang w:val="en-GB"/>
        </w:rPr>
        <w:t xml:space="preserve"> Within the </w:t>
      </w:r>
      <w:r w:rsidRPr="00440B9F">
        <w:rPr>
          <w:rFonts w:ascii="Palatino Linotype" w:hAnsi="Palatino Linotype"/>
          <w:i/>
          <w:sz w:val="22"/>
          <w:szCs w:val="22"/>
          <w:lang w:val="en-GB"/>
        </w:rPr>
        <w:t>hane</w:t>
      </w:r>
      <w:r w:rsidRPr="00440B9F">
        <w:rPr>
          <w:rFonts w:ascii="Palatino Linotype" w:hAnsi="Palatino Linotype"/>
          <w:sz w:val="22"/>
          <w:szCs w:val="22"/>
          <w:lang w:val="en-GB"/>
        </w:rPr>
        <w:t xml:space="preserve"> system, the family name was conflated with that of the fiscal unit and/or residential structure.</w:t>
      </w:r>
      <w:r w:rsidRPr="00440B9F">
        <w:rPr>
          <w:rStyle w:val="FootnoteReference"/>
          <w:rFonts w:ascii="Palatino Linotype" w:hAnsi="Palatino Linotype"/>
          <w:sz w:val="22"/>
          <w:szCs w:val="22"/>
          <w:lang w:val="en-GB"/>
        </w:rPr>
        <w:footnoteReference w:id="18"/>
      </w:r>
      <w:r w:rsidRPr="00440B9F">
        <w:rPr>
          <w:rFonts w:ascii="Palatino Linotype" w:hAnsi="Palatino Linotype"/>
          <w:sz w:val="22"/>
          <w:szCs w:val="22"/>
          <w:lang w:val="en-GB"/>
        </w:rPr>
        <w:t xml:space="preserve"> This was similar to the mosaic family, which was identified by the primary occupants of the house (i.e., the Thomson family), or the name of the building of shared residency (i.e., Burj Bird or the Mission House). Like joint family households however, the units within </w:t>
      </w:r>
      <w:r w:rsidRPr="00440B9F">
        <w:rPr>
          <w:rFonts w:ascii="Palatino Linotype" w:hAnsi="Palatino Linotype"/>
          <w:i/>
          <w:sz w:val="22"/>
          <w:szCs w:val="22"/>
          <w:lang w:val="en-GB"/>
        </w:rPr>
        <w:t>hane</w:t>
      </w:r>
      <w:r w:rsidRPr="00440B9F">
        <w:rPr>
          <w:rFonts w:ascii="Palatino Linotype" w:hAnsi="Palatino Linotype"/>
          <w:sz w:val="22"/>
          <w:szCs w:val="22"/>
          <w:lang w:val="en-GB"/>
        </w:rPr>
        <w:t xml:space="preserve"> structures may have functioned autonomously from each other, which differed from Protestant households.</w:t>
      </w:r>
      <w:r w:rsidRPr="00440B9F">
        <w:rPr>
          <w:rStyle w:val="FootnoteReference"/>
          <w:rFonts w:ascii="Palatino Linotype" w:hAnsi="Palatino Linotype"/>
          <w:sz w:val="22"/>
          <w:szCs w:val="22"/>
          <w:lang w:val="en-GB"/>
        </w:rPr>
        <w:footnoteReference w:id="19"/>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Protestant mosaic family also resonated with family arrangements found in contemporary United States. During the early nineteenth century, American families were regularly fragmented into smaller pieces due to death, the pursuit of education, migration and the demands of the economy. These pieces were reconfigured, but often upon a smaller scale when compared to the mosaic families of the Protestant Circle.</w:t>
      </w:r>
      <w:r w:rsidRPr="00440B9F">
        <w:rPr>
          <w:rStyle w:val="FootnoteReference"/>
          <w:rFonts w:ascii="Palatino Linotype" w:hAnsi="Palatino Linotype"/>
          <w:sz w:val="22"/>
          <w:szCs w:val="22"/>
          <w:lang w:val="en-GB"/>
        </w:rPr>
        <w:footnoteReference w:id="20"/>
      </w:r>
      <w:r w:rsidRPr="00440B9F">
        <w:rPr>
          <w:rFonts w:ascii="Palatino Linotype" w:hAnsi="Palatino Linotype"/>
          <w:sz w:val="22"/>
          <w:szCs w:val="22"/>
          <w:lang w:val="en-GB"/>
        </w:rPr>
        <w:t xml:space="preserve"> This demonstrates that although the mosaic family was unique to the Protestant community in Syria, they resonated with the arrangements found in both contemporary Syrian and American households.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 mother and her biological children functioned as one unit within mosaic families and represents the first type of mothering relationship. During the nineteenth century, childbirth remained a dangerous event for women, despite the increased medicalisation of birthing in both the United States and Ottoman Empire.</w:t>
      </w:r>
      <w:r w:rsidRPr="00440B9F">
        <w:rPr>
          <w:rStyle w:val="FootnoteReference"/>
          <w:rFonts w:ascii="Palatino Linotype" w:hAnsi="Palatino Linotype"/>
          <w:sz w:val="22"/>
          <w:szCs w:val="22"/>
          <w:lang w:val="en-GB"/>
        </w:rPr>
        <w:footnoteReference w:id="21"/>
      </w:r>
      <w:r w:rsidRPr="00440B9F">
        <w:rPr>
          <w:rFonts w:ascii="Palatino Linotype" w:hAnsi="Palatino Linotype"/>
          <w:sz w:val="22"/>
          <w:szCs w:val="22"/>
          <w:lang w:val="en-GB"/>
        </w:rPr>
        <w:t xml:space="preserve"> Nevertheless, Appendix I:D shows that many missionary women successfully gave birth to numerous children: Ann Bird bore seven children, five of whom survived past the age of two, while Hetty Smith bore five children, four of whom survived past the age of one.</w:t>
      </w:r>
      <w:r w:rsidRPr="00440B9F">
        <w:rPr>
          <w:rStyle w:val="FootnoteReference"/>
          <w:rFonts w:ascii="Palatino Linotype" w:hAnsi="Palatino Linotype"/>
          <w:sz w:val="22"/>
          <w:szCs w:val="22"/>
          <w:lang w:val="en-GB"/>
        </w:rPr>
        <w:footnoteReference w:id="22"/>
      </w:r>
      <w:r w:rsidRPr="00440B9F">
        <w:rPr>
          <w:rFonts w:ascii="Palatino Linotype" w:hAnsi="Palatino Linotype"/>
          <w:sz w:val="22"/>
          <w:szCs w:val="22"/>
          <w:vertAlign w:val="superscript"/>
          <w:lang w:val="en-GB"/>
        </w:rPr>
        <w:t xml:space="preserve"> </w:t>
      </w:r>
      <w:r w:rsidRPr="00440B9F">
        <w:rPr>
          <w:rFonts w:ascii="Palatino Linotype" w:hAnsi="Palatino Linotype"/>
          <w:sz w:val="22"/>
          <w:szCs w:val="22"/>
          <w:lang w:val="en-GB"/>
        </w:rPr>
        <w:t>While it is difficult to determine the average number of children born to Syrian Protestant women, due to the inconsistencies in recording this information by the ABCFM missionaries, Meriwether argues that an average of three children lived with each conjugal couple in Ottoman Syria during the early nineteenth century.</w:t>
      </w:r>
      <w:r w:rsidRPr="00440B9F">
        <w:rPr>
          <w:rFonts w:ascii="Palatino Linotype" w:hAnsi="Palatino Linotype"/>
          <w:sz w:val="22"/>
          <w:szCs w:val="22"/>
          <w:vertAlign w:val="superscript"/>
          <w:lang w:val="en-GB"/>
        </w:rPr>
        <w:footnoteReference w:id="23"/>
      </w:r>
      <w:r w:rsidRPr="00440B9F">
        <w:rPr>
          <w:rFonts w:ascii="Palatino Linotype" w:hAnsi="Palatino Linotype"/>
          <w:sz w:val="22"/>
          <w:szCs w:val="22"/>
          <w:lang w:val="en-GB"/>
        </w:rPr>
        <w:t xml:space="preserve"> This supports my data on Syrian Protestant families, which is found in Appendix II:A.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Death from disease also threatened the life of young children, so that both missionary and Syrian Protestant women bore more children than they nurtured into adulthood. The most dangerous period for an infant was during teething, particularly when the child gained her ‘eye teeth’.</w:t>
      </w:r>
      <w:r w:rsidRPr="00440B9F">
        <w:rPr>
          <w:rStyle w:val="FootnoteReference"/>
          <w:rFonts w:ascii="Palatino Linotype" w:hAnsi="Palatino Linotype"/>
          <w:sz w:val="22"/>
          <w:szCs w:val="22"/>
          <w:lang w:val="en-GB"/>
        </w:rPr>
        <w:footnoteReference w:id="24"/>
      </w:r>
      <w:r w:rsidRPr="00440B9F">
        <w:rPr>
          <w:rFonts w:ascii="Palatino Linotype" w:hAnsi="Palatino Linotype"/>
          <w:sz w:val="22"/>
          <w:szCs w:val="22"/>
          <w:lang w:val="en-GB"/>
        </w:rPr>
        <w:t xml:space="preserve"> The sirocco winds of the summer were perceived to be especially dangerous for pregnant women and young children alike.</w:t>
      </w:r>
      <w:r w:rsidRPr="00440B9F">
        <w:rPr>
          <w:rFonts w:ascii="Palatino Linotype" w:hAnsi="Palatino Linotype"/>
          <w:sz w:val="22"/>
          <w:szCs w:val="22"/>
          <w:vertAlign w:val="superscript"/>
          <w:lang w:val="en-GB"/>
        </w:rPr>
        <w:footnoteReference w:id="25"/>
      </w:r>
      <w:r w:rsidRPr="00440B9F">
        <w:rPr>
          <w:rFonts w:ascii="Palatino Linotype" w:hAnsi="Palatino Linotype"/>
          <w:sz w:val="22"/>
          <w:szCs w:val="22"/>
          <w:lang w:val="en-GB"/>
        </w:rPr>
        <w:t xml:space="preserve"> Concerns over children’s health resulted in Protestant mothers demanding that they reside near certified doctors. The ABCFM’s Prudential Committee regarded this stipulation to be a hindrance to official missionary work, for it limited the locations that mothers believed were safe for families and where their missionary husbands could conduct work.</w:t>
      </w:r>
      <w:r w:rsidRPr="00440B9F">
        <w:rPr>
          <w:rStyle w:val="FootnoteReference"/>
          <w:rFonts w:ascii="Palatino Linotype" w:hAnsi="Palatino Linotype"/>
          <w:sz w:val="22"/>
          <w:szCs w:val="22"/>
          <w:lang w:val="en-GB"/>
        </w:rPr>
        <w:footnoteReference w:id="26"/>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 mother was responsible for the care of her biological children, regardless if she was the primary housekeeper in the Protestants’ shared household. During the first two years of life, an infant was breastfed by the biological mother (if she survived child birth), with ‘nurses’ being employed only to assist in household chores.</w:t>
      </w:r>
      <w:r w:rsidRPr="00440B9F">
        <w:rPr>
          <w:rFonts w:ascii="Palatino Linotype" w:hAnsi="Palatino Linotype"/>
          <w:sz w:val="22"/>
          <w:szCs w:val="22"/>
          <w:vertAlign w:val="superscript"/>
          <w:lang w:val="en-GB"/>
        </w:rPr>
        <w:footnoteReference w:id="27"/>
      </w:r>
      <w:r w:rsidRPr="00440B9F">
        <w:rPr>
          <w:rFonts w:ascii="Palatino Linotype" w:hAnsi="Palatino Linotype"/>
          <w:sz w:val="22"/>
          <w:szCs w:val="22"/>
          <w:lang w:val="en-GB"/>
        </w:rPr>
        <w:t xml:space="preserve"> The age of two was regarded as the best time to wean a child, although this was flexible to the needs of the child and the mother’s discretion.</w:t>
      </w:r>
      <w:r w:rsidRPr="00440B9F">
        <w:rPr>
          <w:rFonts w:ascii="Palatino Linotype" w:hAnsi="Palatino Linotype"/>
          <w:sz w:val="22"/>
          <w:szCs w:val="22"/>
          <w:vertAlign w:val="superscript"/>
          <w:lang w:val="en-GB"/>
        </w:rPr>
        <w:footnoteReference w:id="28"/>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role of the mother, as the primary and sole nurturer of her children, was a relatively new concept that emerged during the mid-nineteenth century.</w:t>
      </w:r>
      <w:r w:rsidRPr="00440B9F">
        <w:rPr>
          <w:rFonts w:ascii="Palatino Linotype" w:hAnsi="Palatino Linotype"/>
          <w:sz w:val="22"/>
          <w:szCs w:val="22"/>
          <w:vertAlign w:val="superscript"/>
          <w:lang w:val="en-GB"/>
        </w:rPr>
        <w:footnoteReference w:id="29"/>
      </w:r>
      <w:r w:rsidRPr="00440B9F">
        <w:rPr>
          <w:rFonts w:ascii="Palatino Linotype" w:hAnsi="Palatino Linotype"/>
          <w:sz w:val="22"/>
          <w:szCs w:val="22"/>
          <w:lang w:val="en-GB"/>
        </w:rPr>
        <w:t xml:space="preserve"> It appears that before this point both parents were active in the daily care of children. In 1836, Tannous al-Haddad preached to an audience of men that the responsibility of ‘Syrian parents’ was to teach their children about ‘creation, the flood, the redemption by Jesus Christ, etc.’</w:t>
      </w:r>
      <w:r w:rsidRPr="00440B9F">
        <w:rPr>
          <w:rFonts w:ascii="Palatino Linotype" w:hAnsi="Palatino Linotype"/>
          <w:sz w:val="22"/>
          <w:szCs w:val="22"/>
          <w:vertAlign w:val="superscript"/>
          <w:lang w:val="en-GB"/>
        </w:rPr>
        <w:footnoteReference w:id="30"/>
      </w:r>
      <w:r w:rsidRPr="00440B9F">
        <w:rPr>
          <w:rFonts w:ascii="Palatino Linotype" w:hAnsi="Palatino Linotype"/>
          <w:sz w:val="22"/>
          <w:szCs w:val="22"/>
          <w:lang w:val="en-GB"/>
        </w:rPr>
        <w:t xml:space="preserve">  Likewise, the explanation for Isaac and Ann Bird’s return to the United States included different views on the gendering of parenting. On the one hand, Isaac Bird argued that he played an important role in the training of his children. He wrote that:</w:t>
      </w:r>
    </w:p>
    <w:p w:rsidR="00665C5A" w:rsidRDefault="00665C5A"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[o]ther children may not be so volatile, and stubborn as mine, or other missionaries may manage children with much more judgement and success than I, but for my single self, I find my children need the eye of a parent or of some instructor of Christian principles, constantly upon them.</w:t>
      </w:r>
      <w:r w:rsidRPr="00440B9F">
        <w:rPr>
          <w:rStyle w:val="FootnoteReference"/>
          <w:rFonts w:ascii="Palatino Linotype" w:hAnsi="Palatino Linotype"/>
          <w:sz w:val="22"/>
          <w:szCs w:val="22"/>
          <w:lang w:val="en-GB"/>
        </w:rPr>
        <w:footnoteReference w:id="31"/>
      </w:r>
      <w:r w:rsidRPr="00440B9F">
        <w:rPr>
          <w:rFonts w:ascii="Palatino Linotype" w:hAnsi="Palatino Linotype"/>
          <w:sz w:val="22"/>
          <w:szCs w:val="22"/>
          <w:lang w:val="en-GB"/>
        </w:rPr>
        <w:t xml:space="preserve"> </w:t>
      </w:r>
    </w:p>
    <w:p w:rsidR="00665C5A" w:rsidRPr="00440B9F" w:rsidRDefault="00665C5A" w:rsidP="001761FF">
      <w:pPr>
        <w:pStyle w:val="BodyText"/>
        <w:ind w:left="720" w:right="720"/>
        <w:jc w:val="both"/>
        <w:rPr>
          <w:rFonts w:ascii="Palatino Linotype" w:hAnsi="Palatino Linotype"/>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In contrast, Eli Smith emphasised Ann’s role as the primary carer for the Bird children and argued that: </w:t>
      </w:r>
    </w:p>
    <w:p w:rsidR="00665C5A" w:rsidRDefault="00665C5A"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 xml:space="preserve">[w]ith the case thus before us, considering also the importance of the children’s being sent about this time to the United States for an education, and seeming it likewise important for </w:t>
      </w:r>
      <w:r w:rsidRPr="00440B9F">
        <w:rPr>
          <w:rFonts w:ascii="Palatino Linotype" w:hAnsi="Palatino Linotype"/>
          <w:i/>
          <w:sz w:val="22"/>
          <w:szCs w:val="22"/>
          <w:lang w:val="en-GB"/>
        </w:rPr>
        <w:t>Sister Bird</w:t>
      </w:r>
      <w:r w:rsidRPr="00440B9F">
        <w:rPr>
          <w:rFonts w:ascii="Palatino Linotype" w:hAnsi="Palatino Linotype"/>
          <w:sz w:val="22"/>
          <w:szCs w:val="22"/>
          <w:lang w:val="en-GB"/>
        </w:rPr>
        <w:t xml:space="preserve"> in </w:t>
      </w:r>
      <w:r w:rsidRPr="00440B9F">
        <w:rPr>
          <w:rFonts w:ascii="Palatino Linotype" w:hAnsi="Palatino Linotype"/>
          <w:i/>
          <w:sz w:val="22"/>
          <w:szCs w:val="22"/>
          <w:lang w:val="en-GB"/>
        </w:rPr>
        <w:t>her</w:t>
      </w:r>
      <w:r w:rsidRPr="00440B9F">
        <w:rPr>
          <w:rFonts w:ascii="Palatino Linotype" w:hAnsi="Palatino Linotype"/>
          <w:sz w:val="22"/>
          <w:szCs w:val="22"/>
          <w:lang w:val="en-GB"/>
        </w:rPr>
        <w:t xml:space="preserve"> present circumstances, to commence such a journey with the whole care of </w:t>
      </w:r>
      <w:r w:rsidRPr="00440B9F">
        <w:rPr>
          <w:rFonts w:ascii="Palatino Linotype" w:hAnsi="Palatino Linotype"/>
          <w:i/>
          <w:sz w:val="22"/>
          <w:szCs w:val="22"/>
          <w:lang w:val="en-GB"/>
        </w:rPr>
        <w:t>her</w:t>
      </w:r>
      <w:r w:rsidRPr="00440B9F">
        <w:rPr>
          <w:rFonts w:ascii="Palatino Linotype" w:hAnsi="Palatino Linotype"/>
          <w:sz w:val="22"/>
          <w:szCs w:val="22"/>
          <w:lang w:val="en-GB"/>
        </w:rPr>
        <w:t xml:space="preserve"> </w:t>
      </w:r>
      <w:r w:rsidRPr="00440B9F">
        <w:rPr>
          <w:rFonts w:ascii="Palatino Linotype" w:hAnsi="Palatino Linotype"/>
          <w:i/>
          <w:sz w:val="22"/>
          <w:szCs w:val="22"/>
          <w:lang w:val="en-GB"/>
        </w:rPr>
        <w:t>family</w:t>
      </w:r>
      <w:r w:rsidRPr="00440B9F">
        <w:rPr>
          <w:rFonts w:ascii="Palatino Linotype" w:hAnsi="Palatino Linotype"/>
          <w:sz w:val="22"/>
          <w:szCs w:val="22"/>
          <w:lang w:val="en-GB"/>
        </w:rPr>
        <w:t xml:space="preserve"> upon </w:t>
      </w:r>
      <w:r w:rsidRPr="00440B9F">
        <w:rPr>
          <w:rFonts w:ascii="Palatino Linotype" w:hAnsi="Palatino Linotype"/>
          <w:i/>
          <w:sz w:val="22"/>
          <w:szCs w:val="22"/>
          <w:lang w:val="en-GB"/>
        </w:rPr>
        <w:t>herself</w:t>
      </w:r>
      <w:r w:rsidRPr="00440B9F">
        <w:rPr>
          <w:rFonts w:ascii="Palatino Linotype" w:hAnsi="Palatino Linotype"/>
          <w:sz w:val="22"/>
          <w:szCs w:val="22"/>
          <w:lang w:val="en-GB"/>
        </w:rPr>
        <w:t>.</w:t>
      </w:r>
      <w:r w:rsidRPr="00440B9F">
        <w:rPr>
          <w:rStyle w:val="FootnoteReference"/>
          <w:rFonts w:ascii="Palatino Linotype" w:hAnsi="Palatino Linotype"/>
          <w:sz w:val="22"/>
          <w:szCs w:val="22"/>
          <w:lang w:val="en-GB"/>
        </w:rPr>
        <w:footnoteReference w:id="32"/>
      </w:r>
    </w:p>
    <w:p w:rsidR="00665C5A" w:rsidRPr="00440B9F" w:rsidRDefault="00665C5A" w:rsidP="001761FF">
      <w:pPr>
        <w:pStyle w:val="BodyText"/>
        <w:ind w:left="720" w:right="720"/>
        <w:jc w:val="both"/>
        <w:rPr>
          <w:rFonts w:ascii="Palatino Linotype" w:hAnsi="Palatino Linotype"/>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These examples suggest that during the mid-1830s, both Syrian Protestants and ABCFM missionaries perceived it to be the father’s duty to work alongside the mother to guide the development of their children.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During the 1840s however, a shift in gender roles began to materialise in both the United States and Ottoman Syria when mothers became the primary nurturers and cultivators of their children’s character.</w:t>
      </w:r>
      <w:r w:rsidRPr="00440B9F">
        <w:rPr>
          <w:rFonts w:ascii="Palatino Linotype" w:hAnsi="Palatino Linotype"/>
          <w:sz w:val="22"/>
          <w:szCs w:val="22"/>
          <w:vertAlign w:val="superscript"/>
          <w:lang w:val="en-GB"/>
        </w:rPr>
        <w:footnoteReference w:id="33"/>
      </w:r>
      <w:r w:rsidRPr="00440B9F">
        <w:rPr>
          <w:rFonts w:ascii="Palatino Linotype" w:hAnsi="Palatino Linotype"/>
          <w:sz w:val="22"/>
          <w:szCs w:val="22"/>
          <w:lang w:val="en-GB"/>
        </w:rPr>
        <w:t xml:space="preserve"> This shift was manifested in the arrangements for conjugal family units within Protestant households. As noted above, a mother and her biological children composed one unit in Protestant households, with fathers becoming increasingly auxiliary to this unit. This arrangement reflected the economic changes that drew men to work outside of the home during the 1840s and 1850s.</w:t>
      </w:r>
      <w:r w:rsidRPr="00440B9F">
        <w:rPr>
          <w:rFonts w:ascii="Palatino Linotype" w:hAnsi="Palatino Linotype"/>
          <w:sz w:val="22"/>
          <w:szCs w:val="22"/>
          <w:vertAlign w:val="superscript"/>
          <w:lang w:val="en-GB"/>
        </w:rPr>
        <w:footnoteReference w:id="34"/>
      </w:r>
      <w:r w:rsidRPr="00440B9F">
        <w:rPr>
          <w:rFonts w:ascii="Palatino Linotype" w:hAnsi="Palatino Linotype"/>
          <w:sz w:val="22"/>
          <w:szCs w:val="22"/>
          <w:lang w:val="en-GB"/>
        </w:rPr>
        <w:t xml:space="preserve"> For example, in 1835, Eli Smith worked at the Mission Press, which was located in a room within his house.</w:t>
      </w:r>
      <w:r w:rsidRPr="00440B9F">
        <w:rPr>
          <w:rStyle w:val="FootnoteReference"/>
          <w:rFonts w:ascii="Palatino Linotype" w:hAnsi="Palatino Linotype"/>
          <w:sz w:val="22"/>
          <w:szCs w:val="22"/>
          <w:lang w:val="en-GB"/>
        </w:rPr>
        <w:footnoteReference w:id="35"/>
      </w:r>
      <w:r w:rsidRPr="00440B9F">
        <w:rPr>
          <w:rFonts w:ascii="Palatino Linotype" w:hAnsi="Palatino Linotype"/>
          <w:sz w:val="22"/>
          <w:szCs w:val="22"/>
          <w:lang w:val="en-GB"/>
        </w:rPr>
        <w:t xml:space="preserve"> By 1850 however, the Mission Press had relocated to Burj Bird, which was about a mile from the Smith’s home at the ‘Old Susa’s House’. As a result, Eli left his home at eight in the morning and returned at five o’clock, when the family dined together.</w:t>
      </w:r>
      <w:r w:rsidRPr="00440B9F">
        <w:rPr>
          <w:rStyle w:val="FootnoteReference"/>
          <w:rFonts w:ascii="Palatino Linotype" w:hAnsi="Palatino Linotype"/>
          <w:sz w:val="22"/>
          <w:szCs w:val="22"/>
          <w:lang w:val="en-GB"/>
        </w:rPr>
        <w:footnoteReference w:id="36"/>
      </w:r>
      <w:r w:rsidRPr="00440B9F">
        <w:rPr>
          <w:rFonts w:ascii="Palatino Linotype" w:hAnsi="Palatino Linotype"/>
          <w:sz w:val="22"/>
          <w:szCs w:val="22"/>
          <w:lang w:val="en-GB"/>
        </w:rPr>
        <w:t xml:space="preserve"> The changes instigated by Rufus Anderson during his visit in 1855 emphasised this view that the official work of the mission was to be conducted by men outside of the home. Although the missionaries argued that summer removals to Mount Lebanon were necessary in order to ‘escape the heat of the plain’, the report from Anderson’s visit issued that the locations for summer residencies were to be ‘within a ride of three hours of </w:t>
      </w:r>
      <w:r w:rsidRPr="00440B9F">
        <w:rPr>
          <w:rFonts w:ascii="Palatino Linotype" w:hAnsi="Palatino Linotype"/>
          <w:i/>
          <w:sz w:val="22"/>
          <w:szCs w:val="22"/>
          <w:lang w:val="en-GB"/>
        </w:rPr>
        <w:t>his</w:t>
      </w:r>
      <w:r w:rsidRPr="00440B9F">
        <w:rPr>
          <w:rFonts w:ascii="Palatino Linotype" w:hAnsi="Palatino Linotype"/>
          <w:sz w:val="22"/>
          <w:szCs w:val="22"/>
          <w:lang w:val="en-GB"/>
        </w:rPr>
        <w:t xml:space="preserve"> station that </w:t>
      </w:r>
      <w:r w:rsidRPr="00440B9F">
        <w:rPr>
          <w:rFonts w:ascii="Palatino Linotype" w:hAnsi="Palatino Linotype"/>
          <w:i/>
          <w:sz w:val="22"/>
          <w:szCs w:val="22"/>
          <w:lang w:val="en-GB"/>
        </w:rPr>
        <w:t>he</w:t>
      </w:r>
      <w:r w:rsidRPr="00440B9F">
        <w:rPr>
          <w:rFonts w:ascii="Palatino Linotype" w:hAnsi="Palatino Linotype"/>
          <w:sz w:val="22"/>
          <w:szCs w:val="22"/>
          <w:lang w:val="en-GB"/>
        </w:rPr>
        <w:t xml:space="preserve"> may visit the city or return from it during the cool of the day.’</w:t>
      </w:r>
      <w:r w:rsidRPr="00440B9F">
        <w:rPr>
          <w:rStyle w:val="FootnoteReference"/>
          <w:rFonts w:ascii="Palatino Linotype" w:hAnsi="Palatino Linotype"/>
          <w:sz w:val="22"/>
          <w:szCs w:val="22"/>
          <w:lang w:val="en-GB"/>
        </w:rPr>
        <w:footnoteReference w:id="37"/>
      </w:r>
      <w:r w:rsidRPr="00440B9F">
        <w:rPr>
          <w:rFonts w:ascii="Palatino Linotype" w:hAnsi="Palatino Linotype"/>
          <w:sz w:val="22"/>
          <w:szCs w:val="22"/>
          <w:lang w:val="en-GB"/>
        </w:rPr>
        <w:t xml:space="preserve"> Underlining this new regulation was the (emerging) presumption that mothers provided the daily care for children, while fathers focused upon ‘missionary work’ and were only occasional nurturers of their children.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Justification for this change in the gender of parenting drew upon the belief that the maternal bond between a woman and her biological children was naturally strong. Eliza Thomson argued that the health of her baby was bound to her own well-being and argued that ‘for the sake of my dear babe [William], whose health is much affected by </w:t>
      </w:r>
      <w:r w:rsidRPr="00440B9F">
        <w:rPr>
          <w:rFonts w:ascii="Palatino Linotype" w:hAnsi="Palatino Linotype"/>
          <w:i/>
          <w:sz w:val="22"/>
          <w:szCs w:val="22"/>
          <w:lang w:val="en-GB"/>
        </w:rPr>
        <w:t>mine</w:t>
      </w:r>
      <w:r w:rsidRPr="00440B9F">
        <w:rPr>
          <w:rFonts w:ascii="Palatino Linotype" w:hAnsi="Palatino Linotype"/>
          <w:sz w:val="22"/>
          <w:szCs w:val="22"/>
          <w:lang w:val="en-GB"/>
        </w:rPr>
        <w:t>, I have felt it to be duty [</w:t>
      </w:r>
      <w:r w:rsidRPr="00440B9F">
        <w:rPr>
          <w:rFonts w:ascii="Palatino Linotype" w:hAnsi="Palatino Linotype"/>
          <w:i/>
          <w:sz w:val="22"/>
          <w:szCs w:val="22"/>
          <w:lang w:val="en-GB"/>
        </w:rPr>
        <w:t>sic</w:t>
      </w:r>
      <w:r w:rsidRPr="00440B9F">
        <w:rPr>
          <w:rFonts w:ascii="Palatino Linotype" w:hAnsi="Palatino Linotype"/>
          <w:sz w:val="22"/>
          <w:szCs w:val="22"/>
          <w:lang w:val="en-GB"/>
        </w:rPr>
        <w:t>] to keep my mind as calm as possible’, while they suffered through an earthquake and a battle in Jerusalem.</w:t>
      </w:r>
      <w:r w:rsidRPr="00440B9F">
        <w:rPr>
          <w:rStyle w:val="FootnoteReference"/>
          <w:rFonts w:ascii="Palatino Linotype" w:hAnsi="Palatino Linotype"/>
          <w:sz w:val="22"/>
          <w:szCs w:val="22"/>
          <w:lang w:val="en-GB"/>
        </w:rPr>
        <w:footnoteReference w:id="38"/>
      </w:r>
      <w:r w:rsidRPr="00440B9F">
        <w:rPr>
          <w:rFonts w:ascii="Palatino Linotype" w:hAnsi="Palatino Linotype"/>
          <w:sz w:val="22"/>
          <w:szCs w:val="22"/>
          <w:lang w:val="en-GB"/>
        </w:rPr>
        <w:t xml:space="preserve"> A similar belief was advocated by Sarah Smith, who sought to appease the conflict between Matilda Whiting and Susan Wortabet over the care of Hannie. Sarah argued that although she did not agree with Susan’s objection, she asked Matilda to ‘imagine ourselves in Susan’s place, and remember that she was a mother’ and would find it difficult to part with her own daughter.</w:t>
      </w:r>
      <w:r w:rsidRPr="00440B9F">
        <w:rPr>
          <w:rFonts w:ascii="Palatino Linotype" w:hAnsi="Palatino Linotype"/>
          <w:sz w:val="22"/>
          <w:szCs w:val="22"/>
          <w:vertAlign w:val="superscript"/>
          <w:lang w:val="en-GB"/>
        </w:rPr>
        <w:footnoteReference w:id="39"/>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Protestants’ belief in strong maternal bonds appears, at first glance, to be contradicted by the relative ease displayed by dying women, who, upon their death beds, bestowed the care of their own children to other women.</w:t>
      </w:r>
      <w:r w:rsidRPr="00440B9F">
        <w:rPr>
          <w:rStyle w:val="FootnoteReference"/>
          <w:rFonts w:ascii="Palatino Linotype" w:hAnsi="Palatino Linotype"/>
          <w:sz w:val="22"/>
          <w:szCs w:val="22"/>
          <w:lang w:val="en-GB"/>
        </w:rPr>
        <w:footnoteReference w:id="40"/>
      </w:r>
      <w:r w:rsidRPr="00440B9F">
        <w:rPr>
          <w:rFonts w:ascii="Palatino Linotype" w:hAnsi="Palatino Linotype"/>
          <w:sz w:val="22"/>
          <w:szCs w:val="22"/>
          <w:lang w:val="en-GB"/>
        </w:rPr>
        <w:t xml:space="preserve"> Writing upon the death of his wife Maria, Eli Smith remarked that ‘[t]he babe [Charlie], she said, she could give up without a struggle, for she knew I would bring him up in the fear of God. She then formally gave him up to Mrs. DeForest, to take care of for the present’.</w:t>
      </w:r>
      <w:r w:rsidRPr="00440B9F">
        <w:rPr>
          <w:rStyle w:val="FootnoteReference"/>
          <w:rFonts w:ascii="Palatino Linotype" w:hAnsi="Palatino Linotype"/>
          <w:sz w:val="22"/>
          <w:szCs w:val="22"/>
          <w:lang w:val="en-GB"/>
        </w:rPr>
        <w:footnoteReference w:id="41"/>
      </w:r>
      <w:r w:rsidRPr="00440B9F">
        <w:rPr>
          <w:rFonts w:ascii="Palatino Linotype" w:hAnsi="Palatino Linotype"/>
          <w:sz w:val="22"/>
          <w:szCs w:val="22"/>
          <w:lang w:val="en-GB"/>
        </w:rPr>
        <w:t xml:space="preserve"> Maria’s fear of physical separation from her son, through her death, was alleviated by her trust in Eli and Catherine to properly nurture her son and encourage his independent pursuit of Protestantism. Maria believed that through Catherine’s proper mothering, she would be reunited with her son in heaven.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relationship between a woman and the children born to others, such as that between Catherine DeForest and Charlie Smith, functioned as the second mothering relationship in the Protestant Circle. Mosaic families were households where different conjugal units occupied separate bedrooms, but shared the communal spaces around the dinner table and in the parlour. These households tended to be within close proximity of each other, so that the sharing of meals, regular visitations and healthful excursions were shared occasions when strong bonds developed amongst the different residents of a household.</w:t>
      </w:r>
      <w:r w:rsidRPr="00440B9F">
        <w:rPr>
          <w:rStyle w:val="FootnoteReference"/>
          <w:rFonts w:ascii="Palatino Linotype" w:hAnsi="Palatino Linotype"/>
          <w:sz w:val="22"/>
          <w:szCs w:val="22"/>
          <w:lang w:val="en-GB"/>
        </w:rPr>
        <w:footnoteReference w:id="42"/>
      </w:r>
      <w:r w:rsidRPr="00440B9F">
        <w:rPr>
          <w:rFonts w:ascii="Palatino Linotype" w:hAnsi="Palatino Linotype"/>
          <w:sz w:val="22"/>
          <w:szCs w:val="22"/>
          <w:lang w:val="en-GB"/>
        </w:rPr>
        <w:t xml:space="preserve"> This allowed for the Smith children to be frequent playmates of the al-Bustani children, especially as Salim al-Bustani and Mary Smith were of relatively the same age.</w:t>
      </w:r>
      <w:r w:rsidRPr="00440B9F">
        <w:rPr>
          <w:rStyle w:val="FootnoteReference"/>
          <w:rFonts w:ascii="Palatino Linotype" w:hAnsi="Palatino Linotype"/>
          <w:sz w:val="22"/>
          <w:szCs w:val="22"/>
          <w:lang w:val="en-GB"/>
        </w:rPr>
        <w:footnoteReference w:id="43"/>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Due to the shared or close proximity of missionary households, the mothering of Protestant children became a communal activity. The education of Protestant children was provided by various women (and men). One of the first schools organised by the ABCFM missionaries was formed by Eliza Thomson and Martha Dodge for the ‘Frank’ children living in Beirut, who were brought together for educational instruction within the missionaries’ household.</w:t>
      </w:r>
      <w:r w:rsidRPr="00440B9F">
        <w:rPr>
          <w:rStyle w:val="FootnoteReference"/>
          <w:rFonts w:ascii="Palatino Linotype" w:hAnsi="Palatino Linotype"/>
          <w:sz w:val="22"/>
          <w:szCs w:val="22"/>
          <w:lang w:val="en-GB"/>
        </w:rPr>
        <w:footnoteReference w:id="44"/>
      </w:r>
      <w:r w:rsidRPr="00440B9F">
        <w:rPr>
          <w:rFonts w:ascii="Palatino Linotype" w:hAnsi="Palatino Linotype"/>
          <w:sz w:val="22"/>
          <w:szCs w:val="22"/>
          <w:lang w:val="en-GB"/>
        </w:rPr>
        <w:t xml:space="preserve"> Twenty years later, Charlie Smith recited Latin and English lessons with William Benton and French with Elizabeth Watson.</w:t>
      </w:r>
      <w:r w:rsidRPr="00440B9F">
        <w:rPr>
          <w:rStyle w:val="FootnoteReference"/>
          <w:rFonts w:ascii="Palatino Linotype" w:hAnsi="Palatino Linotype"/>
          <w:sz w:val="22"/>
          <w:szCs w:val="22"/>
          <w:lang w:val="en-GB"/>
        </w:rPr>
        <w:footnoteReference w:id="45"/>
      </w:r>
      <w:r w:rsidRPr="00440B9F">
        <w:rPr>
          <w:rFonts w:ascii="Palatino Linotype" w:hAnsi="Palatino Linotype"/>
          <w:sz w:val="22"/>
          <w:szCs w:val="22"/>
          <w:lang w:val="en-GB"/>
        </w:rPr>
        <w:t xml:space="preserve"> The strength of these bonds was emphasised by the appellations used by missionary children towards the missionaries who were not their biological parents, as either ‘Auntie’ and ‘Uncle’. Communal mothering stretched even to missionary children who were sent to the United States for schooling. Emma Thomson, the biological daughter of William and Maria Thomson, was placed under the care of Henry and Catherine DeForest during her voyage to the United States in 1857 and resided in the household of Elias and Hannah Beadle, who were former ABCFM missionaries to Syria, during her years of study in Connecticut.</w:t>
      </w:r>
      <w:r w:rsidRPr="00440B9F">
        <w:rPr>
          <w:rStyle w:val="FootnoteReference"/>
          <w:rFonts w:ascii="Palatino Linotype" w:hAnsi="Palatino Linotype"/>
          <w:sz w:val="22"/>
          <w:szCs w:val="22"/>
          <w:lang w:val="en-GB"/>
        </w:rPr>
        <w:footnoteReference w:id="46"/>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Other circumstances arose when childless women mothered children born to other women. This occurred when missionary women, either single or married, ‘adopted’ Syrian children to live and be educated within their households. Due to the importance of these arrangements, this type of mothering will be regarded as the third relationship within this analysis. Although young boys were also educated in this fashion,</w:t>
      </w:r>
      <w:r w:rsidRPr="00440B9F">
        <w:rPr>
          <w:rStyle w:val="FootnoteReference"/>
          <w:rFonts w:ascii="Palatino Linotype" w:hAnsi="Palatino Linotype"/>
          <w:sz w:val="22"/>
          <w:szCs w:val="22"/>
          <w:lang w:val="en-GB"/>
        </w:rPr>
        <w:footnoteReference w:id="47"/>
      </w:r>
      <w:r w:rsidRPr="00440B9F">
        <w:rPr>
          <w:rFonts w:ascii="Palatino Linotype" w:hAnsi="Palatino Linotype"/>
          <w:sz w:val="22"/>
          <w:szCs w:val="22"/>
          <w:lang w:val="en-GB"/>
        </w:rPr>
        <w:t xml:space="preserve"> this discussion will focus upon the girls who were ‘adopted’ in order to highlight the reproduction of gender and mothering within this community.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Adoption has been defined as ‘the creation of a fictive relationship of parent to child, by naming the child as one’s own and by endowing him or her with rights and duties identical to those of a biological child’.</w:t>
      </w:r>
      <w:r w:rsidRPr="00440B9F">
        <w:rPr>
          <w:rStyle w:val="FootnoteReference"/>
          <w:rFonts w:ascii="Palatino Linotype" w:hAnsi="Palatino Linotype"/>
          <w:sz w:val="22"/>
          <w:szCs w:val="22"/>
          <w:lang w:val="en-GB"/>
        </w:rPr>
        <w:footnoteReference w:id="48"/>
      </w:r>
      <w:r w:rsidRPr="00440B9F">
        <w:rPr>
          <w:rFonts w:ascii="Palatino Linotype" w:hAnsi="Palatino Linotype"/>
          <w:sz w:val="22"/>
          <w:szCs w:val="22"/>
          <w:lang w:val="en-GB"/>
        </w:rPr>
        <w:t xml:space="preserve"> Although the English term ‘adopted’ was employed by the ABCFM missionaries, the actual mothering relationship that developed did not fully uphold this definition. The first ‘adoption’ of a Syrian child was in 1834, when the childless missionary Sarah Smith took Rahil Ata into her home. Eli Smith described that: </w:t>
      </w:r>
    </w:p>
    <w:p w:rsidR="00665C5A" w:rsidRPr="00440B9F" w:rsidRDefault="00665C5A" w:rsidP="001761FF">
      <w:pPr>
        <w:pStyle w:val="BodyText"/>
        <w:ind w:left="720" w:right="720"/>
        <w:jc w:val="both"/>
        <w:rPr>
          <w:rFonts w:ascii="Palatino Linotype" w:hAnsi="Palatino Linotype"/>
          <w:sz w:val="22"/>
          <w:szCs w:val="22"/>
          <w:lang w:val="en-GB"/>
        </w:rPr>
      </w:pPr>
      <w:r w:rsidRPr="00440B9F">
        <w:rPr>
          <w:rFonts w:ascii="Palatino Linotype" w:hAnsi="Palatino Linotype"/>
          <w:sz w:val="22"/>
          <w:szCs w:val="22"/>
          <w:lang w:val="en-GB"/>
        </w:rPr>
        <w:t>[v]ery soon after her arrival at Beyroot [</w:t>
      </w:r>
      <w:r w:rsidRPr="00440B9F">
        <w:rPr>
          <w:rFonts w:ascii="Palatino Linotype" w:hAnsi="Palatino Linotype"/>
          <w:i/>
          <w:sz w:val="22"/>
          <w:szCs w:val="22"/>
          <w:lang w:val="en-GB"/>
        </w:rPr>
        <w:t>sic</w:t>
      </w:r>
      <w:r w:rsidRPr="00440B9F">
        <w:rPr>
          <w:rFonts w:ascii="Palatino Linotype" w:hAnsi="Palatino Linotype"/>
          <w:sz w:val="22"/>
          <w:szCs w:val="22"/>
          <w:lang w:val="en-GB"/>
        </w:rPr>
        <w:t xml:space="preserve">], [Sarah] Smith had a fixed desire to take a little Arab girl to be brought up in her family. It originated from a variety of motives. The warm affections of her heart sought the constant presences of some such object of attachment. The little girl’s soul she hoped to save; and she desired also to train her up to be a helper in the great work of enlightening and saving others…She, at length, selected from her school one of the most promising scholars, about eight years of age, and, with the consent of her parents, adopted her. In Mrs. Smith’s care, attentions, and gradually in her affections also, she took almost the rank of a daughter [that is]… </w:t>
      </w:r>
      <w:r w:rsidRPr="00440B9F">
        <w:rPr>
          <w:rFonts w:ascii="Palatino Linotype" w:hAnsi="Palatino Linotype"/>
          <w:i/>
          <w:sz w:val="22"/>
          <w:szCs w:val="22"/>
          <w:lang w:val="en-GB"/>
        </w:rPr>
        <w:t>midway between a daughter and a servant</w:t>
      </w:r>
      <w:r w:rsidRPr="00440B9F">
        <w:rPr>
          <w:rFonts w:ascii="Palatino Linotype" w:hAnsi="Palatino Linotype"/>
          <w:sz w:val="22"/>
          <w:szCs w:val="22"/>
          <w:lang w:val="en-GB"/>
        </w:rPr>
        <w:t>.</w:t>
      </w:r>
      <w:r w:rsidRPr="00440B9F">
        <w:rPr>
          <w:rStyle w:val="FootnoteReference"/>
          <w:rFonts w:ascii="Palatino Linotype" w:hAnsi="Palatino Linotype"/>
          <w:sz w:val="22"/>
          <w:szCs w:val="22"/>
          <w:lang w:val="en-GB"/>
        </w:rPr>
        <w:footnoteReference w:id="49"/>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The phrase ‘midway between a daughter and a servant’ was repeatedly employed by the ABCFM to be the official description of this mothering relationship,</w:t>
      </w:r>
      <w:r w:rsidRPr="00440B9F">
        <w:rPr>
          <w:rFonts w:ascii="Palatino Linotype" w:hAnsi="Palatino Linotype"/>
          <w:sz w:val="22"/>
          <w:szCs w:val="22"/>
          <w:vertAlign w:val="superscript"/>
          <w:lang w:val="en-GB"/>
        </w:rPr>
        <w:footnoteReference w:id="50"/>
      </w:r>
      <w:r w:rsidRPr="00440B9F">
        <w:rPr>
          <w:rFonts w:ascii="Palatino Linotype" w:hAnsi="Palatino Linotype"/>
          <w:sz w:val="22"/>
          <w:szCs w:val="22"/>
          <w:lang w:val="en-GB"/>
        </w:rPr>
        <w:t xml:space="preserve"> so that while Sarah expressed her love for Rahil, her daily schedule included manual labour, such as ‘carrying books from boxes to the study’, which were the activities performed by servants, not children.</w:t>
      </w:r>
      <w:r w:rsidRPr="00440B9F">
        <w:rPr>
          <w:rFonts w:ascii="Palatino Linotype" w:hAnsi="Palatino Linotype"/>
          <w:sz w:val="22"/>
          <w:szCs w:val="22"/>
          <w:vertAlign w:val="superscript"/>
          <w:lang w:val="en-GB"/>
        </w:rPr>
        <w:footnoteReference w:id="51"/>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actual number of Syrian children adopted into missionary families is unknown, due to the limited amount of information available on these arrangements. For example, Betsy Tilden simply listed the first names of seven ‘girls taught in the missionaries’ families’ without providing the girls’ surnames nor the names of their missionary parents.</w:t>
      </w:r>
      <w:r w:rsidRPr="00440B9F">
        <w:rPr>
          <w:rStyle w:val="FootnoteReference"/>
          <w:rFonts w:ascii="Palatino Linotype" w:hAnsi="Palatino Linotype"/>
          <w:sz w:val="22"/>
          <w:szCs w:val="22"/>
          <w:lang w:val="en-GB"/>
        </w:rPr>
        <w:footnoteReference w:id="52"/>
      </w:r>
      <w:r w:rsidRPr="00440B9F">
        <w:rPr>
          <w:rFonts w:ascii="Palatino Linotype" w:hAnsi="Palatino Linotype"/>
          <w:sz w:val="22"/>
          <w:szCs w:val="22"/>
          <w:lang w:val="en-GB"/>
        </w:rPr>
        <w:t xml:space="preserve"> However, the occasional practice of adopting individual female students became institutionalised into formal boarding schools, and in so doing, provided more information on the nature of this mothering relationship.</w:t>
      </w:r>
      <w:r w:rsidRPr="00440B9F">
        <w:rPr>
          <w:rStyle w:val="FootnoteReference"/>
          <w:rFonts w:ascii="Palatino Linotype" w:hAnsi="Palatino Linotype"/>
          <w:sz w:val="22"/>
          <w:szCs w:val="22"/>
          <w:lang w:val="en-GB"/>
        </w:rPr>
        <w:footnoteReference w:id="53"/>
      </w:r>
      <w:r w:rsidRPr="00440B9F">
        <w:rPr>
          <w:rFonts w:ascii="Palatino Linotype" w:hAnsi="Palatino Linotype"/>
          <w:sz w:val="22"/>
          <w:szCs w:val="22"/>
          <w:lang w:val="en-GB"/>
        </w:rPr>
        <w:t xml:space="preserve"> One such school was the Female Boarding School (also referred to as the Female Seminary), that was organised by Catherine and Henry DeForest in Beirut, but was continued by Sarah Cheney, Abby Bliss and Amelia Temple in Souq el-Gharb until 1860.</w:t>
      </w:r>
      <w:r w:rsidRPr="00440B9F">
        <w:rPr>
          <w:rFonts w:ascii="Palatino Linotype" w:hAnsi="Palatino Linotype"/>
          <w:sz w:val="22"/>
          <w:szCs w:val="22"/>
          <w:vertAlign w:val="superscript"/>
          <w:lang w:val="en-GB"/>
        </w:rPr>
        <w:footnoteReference w:id="54"/>
      </w:r>
      <w:r w:rsidRPr="00440B9F">
        <w:rPr>
          <w:rFonts w:ascii="Palatino Linotype" w:hAnsi="Palatino Linotype"/>
          <w:sz w:val="22"/>
          <w:szCs w:val="22"/>
          <w:lang w:val="en-GB"/>
        </w:rPr>
        <w:t xml:space="preserve"> Another boarding school was the smaller family school organised by Matilda and George Whiting in 1835.</w:t>
      </w:r>
      <w:r w:rsidRPr="00440B9F">
        <w:rPr>
          <w:rStyle w:val="FootnoteReference"/>
          <w:rFonts w:ascii="Palatino Linotype" w:hAnsi="Palatino Linotype"/>
          <w:sz w:val="22"/>
          <w:szCs w:val="22"/>
          <w:lang w:val="en-GB"/>
        </w:rPr>
        <w:footnoteReference w:id="55"/>
      </w:r>
      <w:r w:rsidRPr="00440B9F">
        <w:rPr>
          <w:rFonts w:ascii="Palatino Linotype" w:hAnsi="Palatino Linotype"/>
          <w:sz w:val="22"/>
          <w:szCs w:val="22"/>
          <w:lang w:val="en-GB"/>
        </w:rPr>
        <w:t xml:space="preserve"> Both Matilda Whiting and Catherine DeForest were biologically childless, so that running their boarding schools was an important, if not the primary outlet for their mothering attentions.</w:t>
      </w:r>
      <w:r w:rsidRPr="00440B9F">
        <w:rPr>
          <w:rStyle w:val="FootnoteReference"/>
          <w:rFonts w:ascii="Palatino Linotype" w:hAnsi="Palatino Linotype"/>
          <w:sz w:val="22"/>
          <w:szCs w:val="22"/>
          <w:lang w:val="en-GB"/>
        </w:rPr>
        <w:footnoteReference w:id="56"/>
      </w:r>
      <w:r w:rsidRPr="00440B9F">
        <w:rPr>
          <w:rFonts w:ascii="Palatino Linotype" w:hAnsi="Palatino Linotype"/>
          <w:sz w:val="22"/>
          <w:szCs w:val="22"/>
          <w:lang w:val="en-GB"/>
        </w:rPr>
        <w:t xml:space="preserve"> In contrast, Abby Bliss, who ran the Female Boarding School at Souq el-Gharb from 1858, struggled to maintain her role as matron after giving birth to her own children. This prompted Abby to relinquish the care of the Female Boarding School to the single missionary Amelia Temple, although Abby ‘adopted’ two young female students into her private family.</w:t>
      </w:r>
      <w:r w:rsidRPr="00440B9F">
        <w:rPr>
          <w:rFonts w:ascii="Palatino Linotype" w:hAnsi="Palatino Linotype"/>
          <w:sz w:val="22"/>
          <w:szCs w:val="22"/>
          <w:vertAlign w:val="superscript"/>
          <w:lang w:val="en-GB"/>
        </w:rPr>
        <w:footnoteReference w:id="57"/>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institutionalisation of individual adoptions into boarding schools was strengthened through the registration of Annual Reports on these schools by the missionaries to the ABCFM’s Prudential Committee.</w:t>
      </w:r>
      <w:r w:rsidRPr="00440B9F">
        <w:rPr>
          <w:rStyle w:val="FootnoteReference"/>
          <w:rFonts w:ascii="Palatino Linotype" w:hAnsi="Palatino Linotype"/>
          <w:sz w:val="22"/>
          <w:szCs w:val="22"/>
          <w:lang w:val="en-GB"/>
        </w:rPr>
        <w:footnoteReference w:id="58"/>
      </w:r>
      <w:r w:rsidRPr="00440B9F">
        <w:rPr>
          <w:rFonts w:ascii="Palatino Linotype" w:hAnsi="Palatino Linotype"/>
          <w:sz w:val="22"/>
          <w:szCs w:val="22"/>
          <w:lang w:val="en-GB"/>
        </w:rPr>
        <w:t xml:space="preserve"> Filing reports allowed the ABCFM to monitor both the progress of the adopted boarding students as well as the quality of teaching-mothering bestowed upon them by their missionary mother. While the language of these reports upheld the official position of these girls, as midway between daughter and servant, personal correspondences suggest that deeper sentiments bonded the missionary teacher-mother to her adopted boarding students-daughters. Writing about an adopted boarding student (possibly Hannie Wortabet) who was accepted into the ECB, George Whiting described: ‘[i]t was a season, you believe, of deep interest to us, especially, as [the student] has lived with use for about fourteen years, and has been regarded and trained much as if she were our own child.’</w:t>
      </w:r>
      <w:r w:rsidRPr="00440B9F">
        <w:rPr>
          <w:rStyle w:val="FootnoteReference"/>
          <w:rFonts w:ascii="Palatino Linotype" w:hAnsi="Palatino Linotype"/>
          <w:sz w:val="22"/>
          <w:szCs w:val="22"/>
          <w:lang w:val="en-GB"/>
        </w:rPr>
        <w:footnoteReference w:id="59"/>
      </w:r>
      <w:r w:rsidRPr="00440B9F">
        <w:rPr>
          <w:rFonts w:ascii="Palatino Linotype" w:hAnsi="Palatino Linotype"/>
          <w:sz w:val="22"/>
          <w:szCs w:val="22"/>
          <w:lang w:val="en-GB"/>
        </w:rPr>
        <w:t xml:space="preserve"> In a similar manner, Catherine DeForest explained that one of her adopted students, Lulu, had ‘been with me for about eight years, and seems almost like my own daughter’.</w:t>
      </w:r>
      <w:r w:rsidRPr="00440B9F">
        <w:rPr>
          <w:rStyle w:val="FootnoteReference"/>
          <w:rFonts w:ascii="Palatino Linotype" w:hAnsi="Palatino Linotype"/>
          <w:sz w:val="22"/>
          <w:szCs w:val="22"/>
          <w:lang w:val="en-GB"/>
        </w:rPr>
        <w:footnoteReference w:id="60"/>
      </w:r>
      <w:r w:rsidRPr="00440B9F">
        <w:rPr>
          <w:rFonts w:ascii="Palatino Linotype" w:hAnsi="Palatino Linotype"/>
          <w:sz w:val="22"/>
          <w:szCs w:val="22"/>
          <w:lang w:val="en-GB"/>
        </w:rPr>
        <w:t xml:space="preserve"> This demonstrates that for missionary women, educating adopted boarding students was not only an aspect of their missionary services, but an important outlet for their maternal womanhood.</w:t>
      </w:r>
      <w:r w:rsidRPr="00440B9F">
        <w:rPr>
          <w:rFonts w:ascii="Palatino Linotype" w:hAnsi="Palatino Linotype"/>
          <w:sz w:val="22"/>
          <w:szCs w:val="22"/>
          <w:vertAlign w:val="superscript"/>
          <w:lang w:val="en-GB"/>
        </w:rPr>
        <w:footnoteReference w:id="61"/>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Some of the adopted students affirmed the intimacy expressed by the missionaries. Melita Carabet, who was adopted by Matilda Whiting, wrote: </w:t>
      </w:r>
    </w:p>
    <w:p w:rsidR="00665C5A" w:rsidRDefault="00665C5A"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I can distinctly recollect the first texts of Scripture and verses of hymns that dear Mrs. Whiting taught my lips to repeat, and my little prayer which I used to say at her knees on going to bed, I still repeat to this day, “Now I lay me”, etc.’ …‘[Mrs. Whiting] prayed and wept over me, and somehow I was comforted and went to my little bed much happier.</w:t>
      </w:r>
      <w:r w:rsidRPr="00440B9F">
        <w:rPr>
          <w:rStyle w:val="FootnoteReference"/>
          <w:rFonts w:ascii="Palatino Linotype" w:hAnsi="Palatino Linotype"/>
          <w:sz w:val="22"/>
          <w:szCs w:val="22"/>
          <w:lang w:val="en-GB"/>
        </w:rPr>
        <w:footnoteReference w:id="62"/>
      </w:r>
      <w:r w:rsidRPr="00440B9F">
        <w:rPr>
          <w:rFonts w:ascii="Palatino Linotype" w:hAnsi="Palatino Linotype"/>
          <w:sz w:val="22"/>
          <w:szCs w:val="22"/>
          <w:lang w:val="en-GB"/>
        </w:rPr>
        <w:t xml:space="preserve"> </w:t>
      </w:r>
    </w:p>
    <w:p w:rsidR="00665C5A" w:rsidRPr="00440B9F" w:rsidRDefault="00665C5A" w:rsidP="001761FF">
      <w:pPr>
        <w:pStyle w:val="BodyText"/>
        <w:ind w:left="720" w:right="720"/>
        <w:jc w:val="both"/>
        <w:rPr>
          <w:rFonts w:ascii="Palatino Linotype" w:hAnsi="Palatino Linotype"/>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To honour their teachers, some adopted boarding students named their own biological children after their mother-teacher. Rahil al-Bustani called her daughter Sarah, after Sarah Smith,</w:t>
      </w:r>
      <w:r w:rsidRPr="00440B9F">
        <w:rPr>
          <w:rFonts w:ascii="Palatino Linotype" w:hAnsi="Palatino Linotype"/>
          <w:sz w:val="22"/>
          <w:szCs w:val="22"/>
          <w:vertAlign w:val="superscript"/>
          <w:lang w:val="en-GB"/>
        </w:rPr>
        <w:footnoteReference w:id="63"/>
      </w:r>
      <w:r w:rsidRPr="00440B9F">
        <w:rPr>
          <w:rFonts w:ascii="Palatino Linotype" w:hAnsi="Palatino Linotype"/>
          <w:sz w:val="22"/>
          <w:szCs w:val="22"/>
          <w:lang w:val="en-GB"/>
        </w:rPr>
        <w:t xml:space="preserve"> while Lulu Araman named her children Henry and Katie after Henry and Catherine DeForest.</w:t>
      </w:r>
      <w:r w:rsidRPr="00440B9F">
        <w:rPr>
          <w:rStyle w:val="FootnoteReference"/>
          <w:rFonts w:ascii="Palatino Linotype" w:hAnsi="Palatino Linotype"/>
          <w:sz w:val="22"/>
          <w:szCs w:val="22"/>
          <w:lang w:val="en-GB"/>
        </w:rPr>
        <w:footnoteReference w:id="64"/>
      </w:r>
      <w:r w:rsidRPr="00440B9F">
        <w:rPr>
          <w:rFonts w:ascii="Palatino Linotype" w:hAnsi="Palatino Linotype"/>
          <w:sz w:val="22"/>
          <w:szCs w:val="22"/>
          <w:lang w:val="en-GB"/>
        </w:rPr>
        <w:t xml:space="preserve"> Although the use of American over Syrian names can be viewed as the indoctrination of a ‘colonial’ relationship,</w:t>
      </w:r>
      <w:r w:rsidRPr="00440B9F">
        <w:rPr>
          <w:rStyle w:val="FootnoteReference"/>
          <w:rFonts w:ascii="Palatino Linotype" w:hAnsi="Palatino Linotype"/>
          <w:sz w:val="22"/>
          <w:szCs w:val="22"/>
          <w:lang w:val="en-GB"/>
        </w:rPr>
        <w:footnoteReference w:id="65"/>
      </w:r>
      <w:r w:rsidRPr="00440B9F">
        <w:rPr>
          <w:rFonts w:ascii="Palatino Linotype" w:hAnsi="Palatino Linotype"/>
          <w:sz w:val="22"/>
          <w:szCs w:val="22"/>
          <w:lang w:val="en-GB"/>
        </w:rPr>
        <w:t xml:space="preserve"> this practice emphasises these women’s commitment to their missionary teachers and this forged kinship arrangement.</w:t>
      </w:r>
      <w:r w:rsidRPr="00440B9F">
        <w:rPr>
          <w:rStyle w:val="FootnoteReference"/>
          <w:rFonts w:ascii="Palatino Linotype" w:hAnsi="Palatino Linotype"/>
          <w:sz w:val="22"/>
          <w:szCs w:val="22"/>
          <w:lang w:val="en-GB"/>
        </w:rPr>
        <w:footnoteReference w:id="66"/>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relationships between missionary mothers and their adopted student-daughters were problematic however for they frequently undermined the bonds between Syrian women and their biological children. Adoptions were based upon the agreement that the missionary would provide an education that could not be given by the biological family. This arrangement was comparable to apprenticeships, which were common in Ottoman Syria during the early nineteenth century, when a young boy lived with a teacher and his family.</w:t>
      </w:r>
      <w:r w:rsidRPr="00440B9F">
        <w:rPr>
          <w:rFonts w:ascii="Palatino Linotype" w:hAnsi="Palatino Linotype"/>
          <w:sz w:val="22"/>
          <w:szCs w:val="22"/>
          <w:vertAlign w:val="superscript"/>
          <w:lang w:val="en-GB"/>
        </w:rPr>
        <w:footnoteReference w:id="67"/>
      </w:r>
      <w:r w:rsidRPr="00440B9F">
        <w:rPr>
          <w:rFonts w:ascii="Palatino Linotype" w:hAnsi="Palatino Linotype"/>
          <w:sz w:val="22"/>
          <w:szCs w:val="22"/>
          <w:lang w:val="en-GB"/>
        </w:rPr>
        <w:t xml:space="preserve"> Apprenticeships may have functioned as a form of fostering, which was ‘the act of assuming partial or complete responsibility for a child whose parents are temporarily</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or permanently unable to care for him or her’.</w:t>
      </w:r>
      <w:r w:rsidRPr="00440B9F">
        <w:rPr>
          <w:rStyle w:val="FootnoteReference"/>
          <w:rFonts w:ascii="Palatino Linotype" w:hAnsi="Palatino Linotype"/>
          <w:sz w:val="22"/>
          <w:szCs w:val="22"/>
          <w:lang w:val="en-GB"/>
        </w:rPr>
        <w:footnoteReference w:id="68"/>
      </w:r>
      <w:r w:rsidRPr="00440B9F">
        <w:rPr>
          <w:rFonts w:ascii="Palatino Linotype" w:hAnsi="Palatino Linotype"/>
          <w:sz w:val="22"/>
          <w:szCs w:val="22"/>
          <w:lang w:val="en-GB"/>
        </w:rPr>
        <w:t xml:space="preserve"> Apprenticeships and fostering were to neither challenge the authority of the parents nor the bonds between the biological parent and child.</w:t>
      </w:r>
      <w:r w:rsidRPr="00440B9F">
        <w:rPr>
          <w:rStyle w:val="FootnoteReference"/>
          <w:rFonts w:ascii="Palatino Linotype" w:hAnsi="Palatino Linotype"/>
          <w:sz w:val="22"/>
          <w:szCs w:val="22"/>
          <w:lang w:val="en-GB"/>
        </w:rPr>
        <w:footnoteReference w:id="69"/>
      </w:r>
      <w:r w:rsidRPr="00440B9F">
        <w:rPr>
          <w:rFonts w:ascii="Palatino Linotype" w:hAnsi="Palatino Linotype"/>
          <w:sz w:val="22"/>
          <w:szCs w:val="22"/>
          <w:lang w:val="en-GB"/>
        </w:rPr>
        <w:t xml:space="preserve"> In contrast, the adoptions performed by ABCFM missionaries included incidents when the relationships between biological parents and their children were intentionally challenged or broken. For example, the mother of Rahil Ata was vilified and designated as an unfit mother after her family attempted to force Rahil into a marriage with a man from the Greek Orthodox Church, as discussed in the previous chapter.</w:t>
      </w:r>
      <w:r w:rsidRPr="00440B9F">
        <w:rPr>
          <w:rStyle w:val="FootnoteReference"/>
          <w:rFonts w:ascii="Palatino Linotype" w:hAnsi="Palatino Linotype"/>
          <w:sz w:val="22"/>
          <w:szCs w:val="22"/>
          <w:lang w:val="en-GB"/>
        </w:rPr>
        <w:footnoteReference w:id="70"/>
      </w:r>
      <w:r w:rsidRPr="00440B9F">
        <w:rPr>
          <w:rFonts w:ascii="Palatino Linotype" w:hAnsi="Palatino Linotype"/>
          <w:sz w:val="22"/>
          <w:szCs w:val="22"/>
          <w:lang w:val="en-GB"/>
        </w:rPr>
        <w:t xml:space="preserve"> Similarly, Catherine DeForest explained that, after an incident when Lulu’s family tried to stop her studies with the DeForests, Lulu ‘never dared to go home again’.</w:t>
      </w:r>
      <w:r w:rsidRPr="00440B9F">
        <w:rPr>
          <w:rFonts w:ascii="Palatino Linotype" w:hAnsi="Palatino Linotype"/>
          <w:sz w:val="22"/>
          <w:szCs w:val="22"/>
          <w:vertAlign w:val="superscript"/>
          <w:lang w:val="en-GB"/>
        </w:rPr>
        <w:footnoteReference w:id="71"/>
      </w:r>
      <w:r w:rsidRPr="00440B9F">
        <w:rPr>
          <w:rFonts w:ascii="Palatino Linotype" w:hAnsi="Palatino Linotype"/>
          <w:sz w:val="22"/>
          <w:szCs w:val="22"/>
          <w:lang w:val="en-GB"/>
        </w:rPr>
        <w:t xml:space="preserve"> It was not possible for the missionaries to vilify all parents of adopted boarding students however, particularly as it became station policy for boarding schools to only accept Protestant children during the 1850s.</w:t>
      </w:r>
      <w:r w:rsidRPr="00440B9F">
        <w:rPr>
          <w:rStyle w:val="FootnoteReference"/>
          <w:rFonts w:ascii="Palatino Linotype" w:hAnsi="Palatino Linotype"/>
          <w:sz w:val="22"/>
          <w:szCs w:val="22"/>
          <w:lang w:val="en-GB"/>
        </w:rPr>
        <w:footnoteReference w:id="72"/>
      </w:r>
      <w:r w:rsidRPr="00440B9F">
        <w:rPr>
          <w:rFonts w:ascii="Palatino Linotype" w:hAnsi="Palatino Linotype"/>
          <w:sz w:val="22"/>
          <w:szCs w:val="22"/>
          <w:lang w:val="en-GB"/>
        </w:rPr>
        <w:t xml:space="preserve"> This change occurred as the adoption of boarding students became formalised into established academic institutions, so that some Syrian Protestants placed their children, both male and female, under the care of the ABCFM missionaries on the condition that their children would refine their academic and religious qualifications. Such parents included Rahil and Butrus al-Bustani, who were promoted as model Protestants and exemplars of proper parenting skills.</w:t>
      </w:r>
      <w:r w:rsidRPr="00440B9F">
        <w:rPr>
          <w:rStyle w:val="FootnoteReference"/>
          <w:rFonts w:ascii="Palatino Linotype" w:hAnsi="Palatino Linotype"/>
          <w:sz w:val="22"/>
          <w:szCs w:val="22"/>
          <w:lang w:val="en-GB"/>
        </w:rPr>
        <w:footnoteReference w:id="73"/>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Little information is available on how female boarding students perceived their biological mothers in light of the tensions between their adopted-missionary and biological-Syrian mothers. Insight onto the complexities surrounding this arrangement is found in Hannie Wortabet’s relationship with her mother, Susan, when she was an adult. In 1852, Edward Robinson visited John Wortabet in Hasbaya and recorded that ‘[John’s] mother and sister were residing with him.’</w:t>
      </w:r>
      <w:r w:rsidRPr="00440B9F">
        <w:rPr>
          <w:rStyle w:val="FootnoteReference"/>
          <w:rFonts w:ascii="Palatino Linotype" w:hAnsi="Palatino Linotype"/>
          <w:sz w:val="22"/>
          <w:szCs w:val="22"/>
          <w:lang w:val="en-GB"/>
        </w:rPr>
        <w:footnoteReference w:id="74"/>
      </w:r>
      <w:r w:rsidRPr="00440B9F">
        <w:rPr>
          <w:rFonts w:ascii="Palatino Linotype" w:hAnsi="Palatino Linotype"/>
          <w:sz w:val="22"/>
          <w:szCs w:val="22"/>
          <w:lang w:val="en-GB"/>
        </w:rPr>
        <w:t xml:space="preserve"> This is the only reference to Susan’s residence with Hannie, so it is difficult to determine the context and meaning of this arrangement. Yet in 1856, Hetty Smith wrote that, while visiting with Susan: ‘Susan gave me a letter to read from Hanna [</w:t>
      </w:r>
      <w:r w:rsidRPr="00440B9F">
        <w:rPr>
          <w:rFonts w:ascii="Palatino Linotype" w:hAnsi="Palatino Linotype"/>
          <w:i/>
          <w:sz w:val="22"/>
          <w:szCs w:val="22"/>
          <w:lang w:val="en-GB"/>
        </w:rPr>
        <w:t>sic</w:t>
      </w:r>
      <w:r w:rsidRPr="00440B9F">
        <w:rPr>
          <w:rFonts w:ascii="Palatino Linotype" w:hAnsi="Palatino Linotype"/>
          <w:sz w:val="22"/>
          <w:szCs w:val="22"/>
          <w:lang w:val="en-GB"/>
        </w:rPr>
        <w:t>] to her written in English. [Hannie] addressed [Susan] as her “dearest Mother”-spoke of [Hannie’s husband] as a son who would ever consider her as his Mother &amp;c’.</w:t>
      </w:r>
      <w:r w:rsidRPr="00440B9F">
        <w:rPr>
          <w:rStyle w:val="FootnoteReference"/>
          <w:rFonts w:ascii="Palatino Linotype" w:hAnsi="Palatino Linotype"/>
          <w:sz w:val="22"/>
          <w:szCs w:val="22"/>
          <w:lang w:val="en-GB"/>
        </w:rPr>
        <w:footnoteReference w:id="75"/>
      </w:r>
      <w:r w:rsidRPr="00440B9F">
        <w:rPr>
          <w:rFonts w:ascii="Palatino Linotype" w:hAnsi="Palatino Linotype"/>
          <w:sz w:val="22"/>
          <w:szCs w:val="22"/>
          <w:lang w:val="en-GB"/>
        </w:rPr>
        <w:t xml:space="preserve"> Susan’s residence with her children suggests that this maternal bond persisted despite the fact that both Hannie and John were raised within missionary households. However, Hannie’s letter to her mother was written in English, which was not Susan’s native language and necessitated the intercession of a third party for this message of endearment to be conveyed.</w:t>
      </w:r>
      <w:r w:rsidRPr="00440B9F">
        <w:rPr>
          <w:rStyle w:val="FootnoteReference"/>
          <w:rFonts w:ascii="Palatino Linotype" w:hAnsi="Palatino Linotype"/>
          <w:sz w:val="22"/>
          <w:szCs w:val="22"/>
          <w:lang w:val="en-GB"/>
        </w:rPr>
        <w:footnoteReference w:id="76"/>
      </w:r>
      <w:r w:rsidRPr="00440B9F">
        <w:rPr>
          <w:rFonts w:ascii="Palatino Linotype" w:hAnsi="Palatino Linotype"/>
          <w:sz w:val="22"/>
          <w:szCs w:val="22"/>
          <w:lang w:val="en-GB"/>
        </w:rPr>
        <w:t xml:space="preserve"> In other words, while the practices of adopting boarding students created intimate bonds between some ABCFM missionary women and Syrian Protestants, it did so by compromising the links between Syrian Protestant women and their biological children.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‘return’ of missionary children to the United States presents an interesting comparison to the adoption of Syrian boarding students.</w:t>
      </w:r>
      <w:r w:rsidRPr="00440B9F">
        <w:rPr>
          <w:rStyle w:val="FootnoteReference"/>
          <w:rFonts w:ascii="Palatino Linotype" w:hAnsi="Palatino Linotype"/>
          <w:sz w:val="22"/>
          <w:szCs w:val="22"/>
          <w:lang w:val="en-GB"/>
        </w:rPr>
        <w:footnoteReference w:id="77"/>
      </w:r>
      <w:r w:rsidRPr="00440B9F">
        <w:rPr>
          <w:rFonts w:ascii="Palatino Linotype" w:hAnsi="Palatino Linotype"/>
          <w:sz w:val="22"/>
          <w:szCs w:val="22"/>
          <w:lang w:val="en-GB"/>
        </w:rPr>
        <w:t xml:space="preserve"> The issue of sending missionary children back to America for education caused unease for the ABCFM, so that formal discussion on the matter took place in 1845.</w:t>
      </w:r>
      <w:r w:rsidRPr="00440B9F">
        <w:rPr>
          <w:rStyle w:val="FootnoteReference"/>
          <w:rFonts w:ascii="Palatino Linotype" w:hAnsi="Palatino Linotype"/>
          <w:sz w:val="22"/>
          <w:szCs w:val="22"/>
          <w:lang w:val="en-GB"/>
        </w:rPr>
        <w:footnoteReference w:id="78"/>
      </w:r>
      <w:r w:rsidRPr="00440B9F">
        <w:rPr>
          <w:rFonts w:ascii="Palatino Linotype" w:hAnsi="Palatino Linotype"/>
          <w:sz w:val="22"/>
          <w:szCs w:val="22"/>
          <w:lang w:val="en-GB"/>
        </w:rPr>
        <w:t xml:space="preserve"> The ABCFM concluded that missionary children should be sent to the United States when they became ‘too old to be easily restrained from intercourse with the corrupting world around them’ and when it was felt that they were old enough to pursue higher education at American institutions.</w:t>
      </w:r>
      <w:r w:rsidRPr="00440B9F">
        <w:rPr>
          <w:rStyle w:val="FootnoteReference"/>
          <w:rFonts w:ascii="Palatino Linotype" w:hAnsi="Palatino Linotype"/>
          <w:sz w:val="22"/>
          <w:szCs w:val="22"/>
          <w:lang w:val="en-GB"/>
        </w:rPr>
        <w:footnoteReference w:id="79"/>
      </w:r>
      <w:r w:rsidRPr="00440B9F">
        <w:rPr>
          <w:rFonts w:ascii="Palatino Linotype" w:hAnsi="Palatino Linotype"/>
          <w:sz w:val="22"/>
          <w:szCs w:val="22"/>
          <w:lang w:val="en-GB"/>
        </w:rPr>
        <w:t xml:space="preserve"> Although most children were sent during their teenage years, the designated age for return was left intentionally vague, so that each family could determine when was suitable for their child to be sent to the United States.</w:t>
      </w:r>
      <w:r w:rsidRPr="00440B9F">
        <w:rPr>
          <w:rFonts w:ascii="Palatino Linotype" w:hAnsi="Palatino Linotype"/>
          <w:sz w:val="22"/>
          <w:szCs w:val="22"/>
          <w:vertAlign w:val="superscript"/>
          <w:lang w:val="en-GB"/>
        </w:rPr>
        <w:footnoteReference w:id="80"/>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return of missionary children paralleled customs in contemporary America, when children lived with their biological family until their mid-teenage years, at which time they entered seminaries, began apprenticeships or commenced work.</w:t>
      </w:r>
      <w:r w:rsidRPr="00440B9F">
        <w:rPr>
          <w:rStyle w:val="FootnoteReference"/>
          <w:rFonts w:ascii="Palatino Linotype" w:hAnsi="Palatino Linotype"/>
          <w:sz w:val="22"/>
          <w:szCs w:val="22"/>
          <w:lang w:val="en-GB"/>
        </w:rPr>
        <w:footnoteReference w:id="81"/>
      </w:r>
      <w:r w:rsidRPr="00440B9F">
        <w:rPr>
          <w:rFonts w:ascii="Palatino Linotype" w:hAnsi="Palatino Linotype"/>
          <w:sz w:val="22"/>
          <w:szCs w:val="22"/>
          <w:lang w:val="en-GB"/>
        </w:rPr>
        <w:t xml:space="preserve"> This contrasted the age when Syrian girls were adopted into Protestant families, which was between six and ten years old.</w:t>
      </w:r>
      <w:r w:rsidRPr="00440B9F">
        <w:rPr>
          <w:rStyle w:val="FootnoteReference"/>
          <w:rFonts w:ascii="Palatino Linotype" w:hAnsi="Palatino Linotype"/>
          <w:sz w:val="22"/>
          <w:szCs w:val="22"/>
          <w:lang w:val="en-GB"/>
        </w:rPr>
        <w:footnoteReference w:id="82"/>
      </w:r>
      <w:r w:rsidRPr="00440B9F">
        <w:rPr>
          <w:rFonts w:ascii="Palatino Linotype" w:hAnsi="Palatino Linotype"/>
          <w:sz w:val="22"/>
          <w:szCs w:val="22"/>
          <w:lang w:val="en-GB"/>
        </w:rPr>
        <w:t xml:space="preserve"> Moreover, returned missionary children resided with family members or close friends, in an effort to maintain ‘the ties and attractions of consanguinity’.</w:t>
      </w:r>
      <w:r w:rsidRPr="00440B9F">
        <w:rPr>
          <w:rStyle w:val="FootnoteReference"/>
          <w:rFonts w:ascii="Palatino Linotype" w:hAnsi="Palatino Linotype"/>
          <w:sz w:val="22"/>
          <w:szCs w:val="22"/>
          <w:lang w:val="en-GB"/>
        </w:rPr>
        <w:footnoteReference w:id="83"/>
      </w:r>
      <w:r w:rsidRPr="00440B9F">
        <w:rPr>
          <w:rFonts w:ascii="Palatino Linotype" w:hAnsi="Palatino Linotype"/>
          <w:sz w:val="22"/>
          <w:szCs w:val="22"/>
          <w:lang w:val="en-GB"/>
        </w:rPr>
        <w:t xml:space="preserve"> Sending children to the United States was not regarded as corrective mothering, but rather, the appropriate behaviour of a missionary woman to ensure that her children were properly trained in a safe environment. In so doing, the missionary mother presented herself to be a role model for Syrian mothers to encourage them to voluntarily part with their own children, in order for the children to receive a ‘proper’ education, not in the United States, but under the auspices of the ABCFM missionaries.</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fourth mothering relationship within the Protestant Circle occurred when children were ‘orphaned’. For the Protestant Circle, the term orphan was used to describe a child after the death or during the illness of one or both her parents. This was different from the ‘adoption’ process discussed above, although the two sometimes overlapped, as with the case of Lulu Araman.</w:t>
      </w:r>
      <w:r w:rsidRPr="00440B9F">
        <w:rPr>
          <w:rStyle w:val="FootnoteReference"/>
          <w:rFonts w:ascii="Palatino Linotype" w:hAnsi="Palatino Linotype"/>
          <w:sz w:val="22"/>
          <w:szCs w:val="22"/>
          <w:lang w:val="en-GB"/>
        </w:rPr>
        <w:footnoteReference w:id="84"/>
      </w:r>
      <w:r w:rsidRPr="00440B9F">
        <w:rPr>
          <w:rFonts w:ascii="Palatino Linotype" w:hAnsi="Palatino Linotype"/>
          <w:sz w:val="22"/>
          <w:szCs w:val="22"/>
          <w:lang w:val="en-GB"/>
        </w:rPr>
        <w:t xml:space="preserve"> The gender of the deceased parent affected the ensuing treatment of the orphaned child. The death of a male missionary typically resulted in the entire family returning to the United States, with the ABCFM offering widows and orphaned children monetary support, but not a continuous pension.</w:t>
      </w:r>
      <w:r w:rsidRPr="00440B9F">
        <w:rPr>
          <w:rStyle w:val="FootnoteReference"/>
          <w:rFonts w:ascii="Palatino Linotype" w:hAnsi="Palatino Linotype"/>
          <w:sz w:val="22"/>
          <w:szCs w:val="22"/>
          <w:lang w:val="en-GB"/>
        </w:rPr>
        <w:footnoteReference w:id="85"/>
      </w:r>
      <w:r w:rsidRPr="00440B9F">
        <w:rPr>
          <w:rFonts w:ascii="Palatino Linotype" w:hAnsi="Palatino Linotype"/>
          <w:sz w:val="22"/>
          <w:szCs w:val="22"/>
          <w:lang w:val="en-GB"/>
        </w:rPr>
        <w:t xml:space="preserve"> One exception to this custom was Martha Dodge, who remained in Syria for a number of years with her two daughters after the death of her husband in 1835.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In contrast, the death or illness of a mother resulted in the ‘orphaned’ child being placed under the care of another missionary mother in an arrangement that was similar to fostering defined above. The temporary mother nurtured the child until a new mother was married or until the biological mother regained her health. As previously noted, Maria Smith designated Catherine DeForest to be the temporary mother for her newborn son, Charles Henry, in 1842.</w:t>
      </w:r>
      <w:r w:rsidRPr="00440B9F">
        <w:rPr>
          <w:rFonts w:ascii="Palatino Linotype" w:hAnsi="Palatino Linotype"/>
          <w:sz w:val="22"/>
          <w:szCs w:val="22"/>
          <w:vertAlign w:val="superscript"/>
          <w:lang w:val="en-GB"/>
        </w:rPr>
        <w:footnoteReference w:id="86"/>
      </w:r>
      <w:r w:rsidRPr="00440B9F">
        <w:rPr>
          <w:rFonts w:ascii="Palatino Linotype" w:hAnsi="Palatino Linotype"/>
          <w:sz w:val="22"/>
          <w:szCs w:val="22"/>
          <w:lang w:val="en-GB"/>
        </w:rPr>
        <w:t xml:space="preserve"> Catherine mothered Charlie for roughly five years, until Eli returned to Syria with his new wife, Hetty, in 1847. During these five years, Catherine developed strong maternal feelings for Charlie, which she conveyed to Eli during his furlough in the United States. On one occasion when Eli’s health was uncertain, Catherine asked: </w:t>
      </w:r>
    </w:p>
    <w:p w:rsidR="00665C5A" w:rsidRDefault="00665C5A"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that if your life and health should not be spared to you-you would allow us to adopt [Charlie] as our own and to do for him as our own child. I know his grandpapa and many other of your friends will wish to have him, but will they feel more tenderly for him or watch more carefully over his best interests than we have endeavoured to do.</w:t>
      </w:r>
      <w:r w:rsidRPr="00440B9F">
        <w:rPr>
          <w:rStyle w:val="FootnoteReference"/>
          <w:rFonts w:ascii="Palatino Linotype" w:hAnsi="Palatino Linotype"/>
          <w:sz w:val="22"/>
          <w:szCs w:val="22"/>
          <w:lang w:val="en-GB"/>
        </w:rPr>
        <w:footnoteReference w:id="87"/>
      </w:r>
    </w:p>
    <w:p w:rsidR="00665C5A" w:rsidRPr="00440B9F" w:rsidRDefault="00665C5A" w:rsidP="001761FF">
      <w:pPr>
        <w:pStyle w:val="BodyText"/>
        <w:ind w:left="720" w:right="720"/>
        <w:jc w:val="both"/>
        <w:rPr>
          <w:rFonts w:ascii="Palatino Linotype" w:hAnsi="Palatino Linotype"/>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Upon receiving news of Eli’s remarriage, Catherine responded:</w:t>
      </w:r>
    </w:p>
    <w:p w:rsidR="00665C5A" w:rsidRPr="00440B9F" w:rsidRDefault="00665C5A" w:rsidP="001761FF">
      <w:pPr>
        <w:pStyle w:val="BodyText"/>
        <w:ind w:left="720" w:right="720"/>
        <w:jc w:val="both"/>
        <w:rPr>
          <w:rFonts w:ascii="Palatino Linotype" w:hAnsi="Palatino Linotype"/>
          <w:sz w:val="22"/>
          <w:szCs w:val="22"/>
          <w:lang w:val="en-GB"/>
        </w:rPr>
      </w:pPr>
      <w:r w:rsidRPr="00440B9F">
        <w:rPr>
          <w:rFonts w:ascii="Palatino Linotype" w:hAnsi="Palatino Linotype"/>
          <w:sz w:val="22"/>
          <w:szCs w:val="22"/>
          <w:lang w:val="en-GB"/>
        </w:rPr>
        <w:t xml:space="preserve">I have had many sad moments in anticipation of the time when I must commit the child of my tenderest love to the keeping of a stranger who however she might desire to do well for him could not possibly have a </w:t>
      </w:r>
      <w:r w:rsidRPr="00440B9F">
        <w:rPr>
          <w:rFonts w:ascii="Palatino Linotype" w:hAnsi="Palatino Linotype"/>
          <w:i/>
          <w:sz w:val="22"/>
          <w:szCs w:val="22"/>
          <w:lang w:val="en-GB"/>
        </w:rPr>
        <w:t>mothers feelings</w:t>
      </w:r>
      <w:r w:rsidRPr="00440B9F">
        <w:rPr>
          <w:rFonts w:ascii="Palatino Linotype" w:hAnsi="Palatino Linotype"/>
          <w:sz w:val="22"/>
          <w:szCs w:val="22"/>
          <w:lang w:val="en-GB"/>
        </w:rPr>
        <w:t xml:space="preserve"> or tenderness still I have hoped for the best and have been endeavouring to give him up cheerfully.</w:t>
      </w:r>
      <w:r w:rsidRPr="00440B9F">
        <w:rPr>
          <w:rStyle w:val="FootnoteReference"/>
          <w:rFonts w:ascii="Palatino Linotype" w:hAnsi="Palatino Linotype"/>
          <w:sz w:val="22"/>
          <w:szCs w:val="22"/>
          <w:lang w:val="en-GB"/>
        </w:rPr>
        <w:footnoteReference w:id="88"/>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Although Hetty became the officially recognised mother of Charlie in 1847, Charlie maintained close ties with his ‘Aunt Catherine’, which were strengthened by Charlie’s occasional residence with the DeForests in both Syria and the United States during subsequent years.</w:t>
      </w:r>
      <w:r w:rsidRPr="00440B9F">
        <w:rPr>
          <w:rStyle w:val="FootnoteReference"/>
          <w:rFonts w:ascii="Palatino Linotype" w:hAnsi="Palatino Linotype"/>
          <w:sz w:val="22"/>
          <w:szCs w:val="22"/>
          <w:lang w:val="en-GB"/>
        </w:rPr>
        <w:footnoteReference w:id="89"/>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Temporary mothering relationships also developed when ‘adopted’ boarding students were ‘orphaned’ upon the death of their missionary mother-teacher. Following the death of Sarah Smith, Rebecca Hebard became the mother-teacher of Rahil Ata. During the following years, the care of Rahil was transferred to Julia Lanneau, Hannah Beadle and Catherine DeForest. This movement was caused by the death of the missionary women, which ended only when Rahil married Butrus al-Bustani in 1843.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Different from the missionaries, it was often upon the death of a Syrian parent or parents that Syrian children were ‘adopted’ into ABCFM missionary families. For example, the conflict between Matilida Whiting and Susan Wortabet over the mothering of Hannie took place after the death of Susan’s husband, Gregory. Although not overtly stated, one of Matilda’s arguments for this adoption may have been the uncertain state of Susan as a widow ‘without any temporal resources whatsoever.’</w:t>
      </w:r>
      <w:r w:rsidRPr="00440B9F">
        <w:rPr>
          <w:rStyle w:val="FootnoteReference"/>
          <w:rFonts w:ascii="Palatino Linotype" w:hAnsi="Palatino Linotype"/>
          <w:sz w:val="22"/>
          <w:szCs w:val="22"/>
          <w:lang w:val="en-GB"/>
        </w:rPr>
        <w:footnoteReference w:id="90"/>
      </w:r>
      <w:r w:rsidRPr="00440B9F">
        <w:rPr>
          <w:rFonts w:ascii="Palatino Linotype" w:hAnsi="Palatino Linotype"/>
          <w:sz w:val="22"/>
          <w:szCs w:val="22"/>
          <w:lang w:val="en-GB"/>
        </w:rPr>
        <w:t xml:space="preserve"> Another orphan was the Druze ‘Sitt Abla’. This young woman rejected the care provided by her biological family and ‘took refuge’ in the house of the Van Dyck family, thus becoming an adopted boarding student in the Van Dyck family.</w:t>
      </w:r>
      <w:r w:rsidRPr="00440B9F">
        <w:rPr>
          <w:rStyle w:val="FootnoteReference"/>
          <w:rFonts w:ascii="Palatino Linotype" w:hAnsi="Palatino Linotype"/>
          <w:sz w:val="22"/>
          <w:szCs w:val="22"/>
          <w:lang w:val="en-GB"/>
        </w:rPr>
        <w:footnoteReference w:id="91"/>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case of the orphaned sisters, Rufka and Sada Gregory, demands special consideration. Their father was Yakob Gregory, an Armenian who joined the Protestant Circle during the early 1830s. His wife was originally Jewish but became a Christian soon after Yakob’s conversion, although it is unclear from the sources if she became an Armenian or Protestant Christian. By 1836 however, both Yakob and his wife had died.</w:t>
      </w:r>
      <w:r w:rsidRPr="00440B9F">
        <w:rPr>
          <w:rStyle w:val="FootnoteReference"/>
          <w:rFonts w:ascii="Palatino Linotype" w:hAnsi="Palatino Linotype"/>
          <w:sz w:val="22"/>
          <w:szCs w:val="22"/>
          <w:lang w:val="en-GB"/>
        </w:rPr>
        <w:footnoteReference w:id="92"/>
      </w:r>
      <w:r w:rsidRPr="00440B9F">
        <w:rPr>
          <w:rFonts w:ascii="Palatino Linotype" w:hAnsi="Palatino Linotype"/>
          <w:sz w:val="22"/>
          <w:szCs w:val="22"/>
          <w:lang w:val="en-GB"/>
        </w:rPr>
        <w:t xml:space="preserve"> A battle over the guardianship of Rufka and Sada ensued, for their maternal grandmother challenged the ABCFM missionaries’ claim of custody.</w:t>
      </w:r>
      <w:r w:rsidRPr="00440B9F">
        <w:rPr>
          <w:rStyle w:val="FootnoteReference"/>
          <w:rFonts w:ascii="Palatino Linotype" w:hAnsi="Palatino Linotype"/>
          <w:sz w:val="22"/>
          <w:szCs w:val="22"/>
          <w:lang w:val="en-GB"/>
        </w:rPr>
        <w:footnoteReference w:id="93"/>
      </w:r>
      <w:r w:rsidRPr="00440B9F">
        <w:rPr>
          <w:rFonts w:ascii="Palatino Linotype" w:hAnsi="Palatino Linotype"/>
          <w:sz w:val="22"/>
          <w:szCs w:val="22"/>
          <w:lang w:val="en-GB"/>
        </w:rPr>
        <w:t xml:space="preserve"> In 1840, the grandmother ‘abducted’ one of the girls (presumably Rufka) and attempted to send her from Beirut to Jerusalem. Also aboard the ship however was a man who knew Yakob Gregory, recognised Rufka and notified the British consular agent in Jaffa, who was the diplomatic representative of the ABCFM missionaries at that time. Rufka was taken off the boat, placed under the care of Matilda Whiting and was soon after joined by her sister Sada.</w:t>
      </w:r>
      <w:r w:rsidRPr="00440B9F">
        <w:rPr>
          <w:rStyle w:val="FootnoteReference"/>
          <w:rFonts w:ascii="Palatino Linotype" w:hAnsi="Palatino Linotype"/>
          <w:sz w:val="22"/>
          <w:szCs w:val="22"/>
          <w:lang w:val="en-GB"/>
        </w:rPr>
        <w:footnoteReference w:id="94"/>
      </w:r>
      <w:r w:rsidRPr="00440B9F">
        <w:rPr>
          <w:rFonts w:ascii="Palatino Linotype" w:hAnsi="Palatino Linotype"/>
          <w:sz w:val="22"/>
          <w:szCs w:val="22"/>
          <w:lang w:val="en-GB"/>
        </w:rPr>
        <w:t xml:space="preserve"> It appears that the grandmother continued to pursue custodial rights over the girls, for in 1845, a dispatch from the British Consulate discussed a diplomatic conflict amongst the American, English, Russian and Turkish officials. Although no names were given it appears that this dispute over ‘the guardianship of two little girls, Turkish subjects’ referred to the Gregory case.</w:t>
      </w:r>
      <w:r w:rsidRPr="00440B9F">
        <w:rPr>
          <w:rStyle w:val="FootnoteReference"/>
          <w:rFonts w:ascii="Palatino Linotype" w:hAnsi="Palatino Linotype"/>
          <w:sz w:val="22"/>
          <w:szCs w:val="22"/>
          <w:lang w:val="en-GB"/>
        </w:rPr>
        <w:footnoteReference w:id="95"/>
      </w:r>
      <w:r w:rsidRPr="00440B9F">
        <w:rPr>
          <w:rFonts w:ascii="Palatino Linotype" w:hAnsi="Palatino Linotype"/>
          <w:sz w:val="22"/>
          <w:szCs w:val="22"/>
          <w:lang w:val="en-GB"/>
        </w:rPr>
        <w:t xml:space="preserve"> Despite the grandmother’s protests, the officials sided with the ABCFM for Rufka and Sada were raised as adopted boarding students within Matilda Whiting’s family.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In order to fully understand the impact of the Gregory case, it is essential to review its context and the family’s history. Firstly, the Gregory family was an awkward arrangement that represented a fluid mixture of religious affiliations. It can be argued that the maternal grandmother’s protest was not against the Americans specifically, but was an ‘[endeavour] to get [Rufka and Sada] away from Christian influence and secure them a Jewish education’.</w:t>
      </w:r>
      <w:r w:rsidRPr="00440B9F">
        <w:rPr>
          <w:rFonts w:ascii="Palatino Linotype" w:hAnsi="Palatino Linotype"/>
          <w:sz w:val="22"/>
          <w:szCs w:val="22"/>
          <w:vertAlign w:val="superscript"/>
          <w:lang w:val="en-GB"/>
        </w:rPr>
        <w:footnoteReference w:id="96"/>
      </w:r>
      <w:r w:rsidRPr="00440B9F">
        <w:rPr>
          <w:rFonts w:ascii="Palatino Linotype" w:hAnsi="Palatino Linotype"/>
          <w:sz w:val="22"/>
          <w:szCs w:val="22"/>
          <w:lang w:val="en-GB"/>
        </w:rPr>
        <w:t xml:space="preserve"> Secondly, the grandmother’s claim of guardianship challenges previous interpretations of both gender and guardianship in Ottoman Syria during the early nineteenth century. The grandmother’s persistence demonstrates that this woman felt that it was her right to fight for the custody of her granddaughters, which suggests that women’s role in child custody may have been more fluid than originally perceived.</w:t>
      </w:r>
      <w:r w:rsidRPr="00440B9F">
        <w:rPr>
          <w:rFonts w:ascii="Palatino Linotype" w:hAnsi="Palatino Linotype"/>
          <w:sz w:val="22"/>
          <w:szCs w:val="22"/>
          <w:vertAlign w:val="superscript"/>
          <w:lang w:val="en-GB"/>
        </w:rPr>
        <w:footnoteReference w:id="97"/>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The above section outlined the different relationships that defined motherhood within the Protestant Circle and illuminated the complexities surrounding social interactions amongst the members of this new community. Mothering in the Protestant Circle encompassed a variety of different arrangements, which were innovative responses to the dynamics of the Protestants community and transformations of gender roles unfolding within American and Syrian societies. Examining the details of these mothering relationships problematised the ‘official’ version of the missionary women’s adoption of Syrian children. While, the missionaries argued that Syrian women unquestionably placed their children under missionary care, the Wortabet and Gregory cases reveal that the adoption of Syrian children were complicated and difficult experiences, which required the active subjugation of Syrian widows and grandmothers to the maternal desires of ABCFM missionaries. </w:t>
      </w:r>
    </w:p>
    <w:p w:rsidR="00665C5A" w:rsidRPr="00440B9F" w:rsidRDefault="00665C5A" w:rsidP="001761FF">
      <w:pPr>
        <w:pStyle w:val="BodyText"/>
        <w:spacing w:line="360" w:lineRule="auto"/>
        <w:jc w:val="both"/>
        <w:outlineLvl w:val="0"/>
        <w:rPr>
          <w:rFonts w:ascii="Palatino Linotype" w:hAnsi="Palatino Linotype"/>
          <w:i/>
          <w:sz w:val="22"/>
          <w:szCs w:val="22"/>
          <w:lang w:val="en-GB"/>
        </w:rPr>
      </w:pPr>
    </w:p>
    <w:p w:rsidR="00665C5A" w:rsidRPr="00440B9F" w:rsidRDefault="00665C5A" w:rsidP="001761FF">
      <w:pPr>
        <w:pStyle w:val="BodyText"/>
        <w:spacing w:line="360" w:lineRule="auto"/>
        <w:jc w:val="both"/>
        <w:outlineLvl w:val="0"/>
        <w:rPr>
          <w:rFonts w:ascii="Palatino Linotype" w:hAnsi="Palatino Linotype"/>
          <w:i/>
          <w:sz w:val="22"/>
          <w:szCs w:val="22"/>
          <w:lang w:val="en-GB"/>
        </w:rPr>
      </w:pPr>
    </w:p>
    <w:p w:rsidR="00665C5A" w:rsidRPr="00440B9F" w:rsidRDefault="00665C5A" w:rsidP="001761FF">
      <w:pPr>
        <w:pStyle w:val="BodyText"/>
        <w:spacing w:line="360" w:lineRule="auto"/>
        <w:jc w:val="center"/>
        <w:outlineLvl w:val="0"/>
        <w:rPr>
          <w:rFonts w:ascii="Arial" w:hAnsi="Arial" w:cs="Arial"/>
          <w:smallCaps/>
          <w:sz w:val="22"/>
          <w:szCs w:val="22"/>
          <w:lang w:val="en-GB"/>
        </w:rPr>
      </w:pPr>
      <w:r w:rsidRPr="00440B9F">
        <w:rPr>
          <w:rFonts w:ascii="Arial" w:hAnsi="Arial" w:cs="Arial"/>
          <w:smallCaps/>
          <w:sz w:val="22"/>
          <w:szCs w:val="22"/>
          <w:lang w:val="en-GB"/>
        </w:rPr>
        <w:t>Mothering as a Form of Capital</w:t>
      </w:r>
    </w:p>
    <w:p w:rsidR="00665C5A" w:rsidRPr="00440B9F" w:rsidRDefault="00665C5A" w:rsidP="001761FF">
      <w:pPr>
        <w:pStyle w:val="BodyText"/>
        <w:spacing w:line="360" w:lineRule="auto"/>
        <w:jc w:val="both"/>
        <w:outlineLvl w:val="0"/>
        <w:rPr>
          <w:rFonts w:ascii="Palatino Linotype" w:hAnsi="Palatino Linotype"/>
          <w:smallCaps/>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Mothering functioned as a form of symbolic capital within the Protestant Circle. The Protestants’ definition of mothering reflected their specific faith and culture, particularly their interpretations of education and religious practices for women. More accurately however, the Protestants’ definition of ‘proper’ mothering was based upon the ABCFM missionaries’ views of mothering, which was acquired, negotiated and/or subverted by all Protestant women. As a result, women’s performances of mothering varied in a manner that emphasised the divisions outlined in previous chapters. This section presents the different terms for Protestant mothering and the ways that women engaged with these definitions, demonstrating that race was an important criterion in how women’s mothering activities were judged by others within the Protestant Circle. </w:t>
      </w:r>
    </w:p>
    <w:p w:rsidR="00665C5A" w:rsidRDefault="00665C5A" w:rsidP="001761FF">
      <w:pPr>
        <w:pStyle w:val="BodyText"/>
        <w:spacing w:line="360" w:lineRule="auto"/>
        <w:jc w:val="center"/>
        <w:outlineLvl w:val="0"/>
        <w:rPr>
          <w:rFonts w:ascii="Arial" w:hAnsi="Arial" w:cs="Arial"/>
          <w:i/>
          <w:smallCaps/>
          <w:lang w:val="en-GB"/>
        </w:rPr>
      </w:pPr>
    </w:p>
    <w:p w:rsidR="00665C5A" w:rsidRPr="00440B9F" w:rsidRDefault="00665C5A" w:rsidP="001761FF">
      <w:pPr>
        <w:pStyle w:val="BodyText"/>
        <w:spacing w:line="360" w:lineRule="auto"/>
        <w:jc w:val="center"/>
        <w:outlineLvl w:val="0"/>
        <w:rPr>
          <w:rFonts w:ascii="Arial" w:hAnsi="Arial" w:cs="Arial"/>
          <w:i/>
          <w:smallCaps/>
          <w:sz w:val="22"/>
          <w:szCs w:val="22"/>
          <w:lang w:val="en-GB"/>
        </w:rPr>
      </w:pPr>
      <w:r w:rsidRPr="00440B9F">
        <w:rPr>
          <w:rFonts w:ascii="Arial" w:hAnsi="Arial" w:cs="Arial"/>
          <w:i/>
          <w:smallCaps/>
          <w:sz w:val="22"/>
          <w:szCs w:val="22"/>
          <w:lang w:val="en-GB"/>
        </w:rPr>
        <w:t>The Mother as Educator</w:t>
      </w:r>
    </w:p>
    <w:p w:rsidR="00665C5A" w:rsidRPr="00440B9F" w:rsidRDefault="00665C5A" w:rsidP="001761FF">
      <w:pPr>
        <w:pStyle w:val="BodyText"/>
        <w:spacing w:line="360" w:lineRule="auto"/>
        <w:jc w:val="both"/>
        <w:outlineLvl w:val="0"/>
        <w:rPr>
          <w:rFonts w:ascii="Palatino Linotype" w:hAnsi="Palatino Linotype"/>
          <w:smallCaps/>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Formal education was an important attribute of the Protestant Circle. All Protestants participated in formal educational activities: as students in common, Sabbath or boarding school, as teachers providing these services, and occasionally as both. The Protestants’ limited resources often resulted in their conflating educational and domestic space, so that schools for Syrian children were either held in specified rooms, such as the female school room in the Mission House, or multipurpose spaces like courtyards and parlours. Lessons for missionary children were also conducted within the homes of the ABCFM missionaries.</w:t>
      </w:r>
      <w:r w:rsidRPr="00440B9F">
        <w:rPr>
          <w:rStyle w:val="FootnoteReference"/>
          <w:rFonts w:ascii="Palatino Linotype" w:hAnsi="Palatino Linotype"/>
          <w:sz w:val="22"/>
          <w:szCs w:val="22"/>
          <w:lang w:val="en-GB"/>
        </w:rPr>
        <w:footnoteReference w:id="98"/>
      </w:r>
      <w:r w:rsidRPr="00440B9F">
        <w:rPr>
          <w:rFonts w:ascii="Palatino Linotype" w:hAnsi="Palatino Linotype"/>
          <w:sz w:val="22"/>
          <w:szCs w:val="22"/>
          <w:lang w:val="en-GB"/>
        </w:rPr>
        <w:t xml:space="preserve"> This conflation of school and domestic space was exemplified in the adoption of boarding students and through the creation of formalised boarding schools/seminaries.</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gendering of mission work affirmed this ‘domestication’ of educational activities. The previous chapter argued that Protestant women’s activities were narrowed onto work in the home and providing for their family and other women by the 1850s. Another aspect of this change was an emphasis on the belief that mothers had a more lasting influence over their children’s development than fathers.</w:t>
      </w:r>
      <w:r w:rsidRPr="00440B9F">
        <w:rPr>
          <w:rStyle w:val="FootnoteReference"/>
          <w:rFonts w:ascii="Palatino Linotype" w:hAnsi="Palatino Linotype"/>
          <w:sz w:val="22"/>
          <w:szCs w:val="22"/>
          <w:lang w:val="en-GB"/>
        </w:rPr>
        <w:footnoteReference w:id="99"/>
      </w:r>
      <w:r w:rsidRPr="00440B9F">
        <w:rPr>
          <w:rFonts w:ascii="Palatino Linotype" w:hAnsi="Palatino Linotype"/>
          <w:sz w:val="22"/>
          <w:szCs w:val="22"/>
          <w:lang w:val="en-GB"/>
        </w:rPr>
        <w:t xml:space="preserve"> This view was employed by the ABCFM missionaries to justify their work in female education.</w:t>
      </w:r>
      <w:r w:rsidRPr="00440B9F">
        <w:rPr>
          <w:rStyle w:val="FootnoteReference"/>
          <w:rFonts w:ascii="Palatino Linotype" w:hAnsi="Palatino Linotype"/>
          <w:sz w:val="22"/>
          <w:szCs w:val="22"/>
          <w:lang w:val="en-GB"/>
        </w:rPr>
        <w:footnoteReference w:id="100"/>
      </w:r>
      <w:r w:rsidRPr="00440B9F">
        <w:rPr>
          <w:rFonts w:ascii="Palatino Linotype" w:hAnsi="Palatino Linotype"/>
          <w:sz w:val="22"/>
          <w:szCs w:val="22"/>
          <w:lang w:val="en-GB"/>
        </w:rPr>
        <w:t xml:space="preserve"> In 1850, they wrote that ‘[i]n our labours for the reconstruction of society here we feel more and more the absolute need of a sanctified and enlightened female influence’.</w:t>
      </w:r>
      <w:r w:rsidRPr="00440B9F">
        <w:rPr>
          <w:rStyle w:val="FootnoteReference"/>
          <w:rFonts w:ascii="Palatino Linotype" w:hAnsi="Palatino Linotype"/>
          <w:sz w:val="22"/>
          <w:szCs w:val="22"/>
          <w:lang w:val="en-GB"/>
        </w:rPr>
        <w:footnoteReference w:id="101"/>
      </w:r>
      <w:r w:rsidRPr="00440B9F">
        <w:rPr>
          <w:rFonts w:ascii="Palatino Linotype" w:hAnsi="Palatino Linotype"/>
          <w:sz w:val="22"/>
          <w:szCs w:val="22"/>
          <w:lang w:val="en-GB"/>
        </w:rPr>
        <w:t xml:space="preserve"> The missionaries contrasted their work to the ‘deleterious influence’ that uneducated, non-Protestant Syrian women held ‘over their husbands and children’.</w:t>
      </w:r>
      <w:r w:rsidRPr="00440B9F">
        <w:rPr>
          <w:rStyle w:val="FootnoteReference"/>
          <w:rFonts w:ascii="Palatino Linotype" w:hAnsi="Palatino Linotype"/>
          <w:sz w:val="22"/>
          <w:szCs w:val="22"/>
          <w:lang w:val="en-GB"/>
        </w:rPr>
        <w:footnoteReference w:id="102"/>
      </w:r>
      <w:r w:rsidRPr="00440B9F">
        <w:rPr>
          <w:rFonts w:ascii="Palatino Linotype" w:hAnsi="Palatino Linotype"/>
          <w:sz w:val="22"/>
          <w:szCs w:val="22"/>
          <w:lang w:val="en-GB"/>
        </w:rPr>
        <w:t xml:space="preserve"> Butrus al-Bustani presented a comparable argument in his 1847 lecture ‘Khitab fi T‘alim al-Nisa’,</w:t>
      </w:r>
      <w:r w:rsidRPr="00440B9F">
        <w:rPr>
          <w:rStyle w:val="FootnoteReference"/>
          <w:rFonts w:ascii="Palatino Linotype" w:hAnsi="Palatino Linotype"/>
          <w:sz w:val="22"/>
          <w:szCs w:val="22"/>
          <w:lang w:val="en-GB"/>
        </w:rPr>
        <w:footnoteReference w:id="103"/>
      </w:r>
      <w:r w:rsidRPr="00440B9F">
        <w:rPr>
          <w:rFonts w:ascii="Palatino Linotype" w:hAnsi="Palatino Linotype"/>
          <w:sz w:val="22"/>
          <w:szCs w:val="22"/>
          <w:lang w:val="en-GB"/>
        </w:rPr>
        <w:t xml:space="preserve"> where he proposed ‘that the education of woman will benefit herself, her husband, her children and her country’.</w:t>
      </w:r>
      <w:r w:rsidRPr="00440B9F">
        <w:rPr>
          <w:rStyle w:val="FootnoteReference"/>
          <w:rFonts w:ascii="Palatino Linotype" w:hAnsi="Palatino Linotype"/>
          <w:sz w:val="22"/>
          <w:szCs w:val="22"/>
          <w:lang w:val="en-GB"/>
        </w:rPr>
        <w:footnoteReference w:id="104"/>
      </w:r>
      <w:r w:rsidRPr="00440B9F">
        <w:rPr>
          <w:rFonts w:ascii="Palatino Linotype" w:hAnsi="Palatino Linotype"/>
          <w:sz w:val="22"/>
          <w:szCs w:val="22"/>
          <w:lang w:val="en-GB"/>
        </w:rPr>
        <w:t xml:space="preserve"> Al-Bustani summarised this stance in the popular axiom that ‘she who rocks the cradle with her right hand, moves the world with her arm’.</w:t>
      </w:r>
      <w:r w:rsidRPr="00440B9F">
        <w:rPr>
          <w:rStyle w:val="FootnoteReference"/>
          <w:rFonts w:ascii="Palatino Linotype" w:hAnsi="Palatino Linotype"/>
          <w:sz w:val="22"/>
          <w:szCs w:val="22"/>
          <w:lang w:val="en-GB"/>
        </w:rPr>
        <w:footnoteReference w:id="105"/>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Protestants’ argued that a mother could only positively influence her children’s developed if she was suitably educated and upheld certain cultural standards. Mothers were encouraged to be literate, so that they could read to those within their households and organise lessons for their children’s education.</w:t>
      </w:r>
      <w:r w:rsidRPr="00440B9F">
        <w:rPr>
          <w:rStyle w:val="FootnoteReference"/>
          <w:rFonts w:ascii="Palatino Linotype" w:hAnsi="Palatino Linotype"/>
          <w:sz w:val="22"/>
          <w:szCs w:val="22"/>
          <w:lang w:val="en-GB"/>
        </w:rPr>
        <w:footnoteReference w:id="106"/>
      </w:r>
      <w:r w:rsidRPr="00440B9F">
        <w:rPr>
          <w:rFonts w:ascii="Palatino Linotype" w:hAnsi="Palatino Linotype"/>
          <w:sz w:val="22"/>
          <w:szCs w:val="22"/>
          <w:lang w:val="en-GB"/>
        </w:rPr>
        <w:t xml:space="preserve"> If a mother was illiterate however, she was to send her children to school in order to ensure that they learned how to read and write.</w:t>
      </w:r>
      <w:r w:rsidRPr="00440B9F">
        <w:rPr>
          <w:rStyle w:val="FootnoteReference"/>
          <w:rFonts w:ascii="Palatino Linotype" w:hAnsi="Palatino Linotype"/>
          <w:sz w:val="22"/>
          <w:szCs w:val="22"/>
          <w:lang w:val="en-GB"/>
        </w:rPr>
        <w:footnoteReference w:id="107"/>
      </w:r>
      <w:r w:rsidRPr="00440B9F">
        <w:rPr>
          <w:rFonts w:ascii="Palatino Linotype" w:hAnsi="Palatino Linotype"/>
          <w:sz w:val="22"/>
          <w:szCs w:val="22"/>
          <w:lang w:val="en-GB"/>
        </w:rPr>
        <w:t xml:space="preserve"> The Protestants also believed that ‘the right training of children is not a natural instinct’, but a learned skill.</w:t>
      </w:r>
      <w:r w:rsidRPr="00440B9F">
        <w:rPr>
          <w:rFonts w:ascii="Palatino Linotype" w:hAnsi="Palatino Linotype"/>
          <w:sz w:val="22"/>
          <w:szCs w:val="22"/>
          <w:vertAlign w:val="superscript"/>
          <w:lang w:val="en-GB"/>
        </w:rPr>
        <w:footnoteReference w:id="108"/>
      </w:r>
      <w:r w:rsidRPr="00440B9F">
        <w:rPr>
          <w:rFonts w:ascii="Palatino Linotype" w:hAnsi="Palatino Linotype"/>
          <w:sz w:val="22"/>
          <w:szCs w:val="22"/>
          <w:lang w:val="en-GB"/>
        </w:rPr>
        <w:t xml:space="preserve"> Mothers were to continuously refine their education through reading advice and about scientific discoveries printed in periodicals and books, particularly those written specifically for mothers.</w:t>
      </w:r>
      <w:r w:rsidRPr="00440B9F">
        <w:rPr>
          <w:rStyle w:val="FootnoteReference"/>
          <w:rFonts w:ascii="Palatino Linotype" w:hAnsi="Palatino Linotype"/>
          <w:sz w:val="22"/>
          <w:szCs w:val="22"/>
          <w:lang w:val="en-GB"/>
        </w:rPr>
        <w:footnoteReference w:id="109"/>
      </w:r>
      <w:r w:rsidRPr="00440B9F">
        <w:rPr>
          <w:rFonts w:ascii="Palatino Linotype" w:hAnsi="Palatino Linotype"/>
          <w:sz w:val="22"/>
          <w:szCs w:val="22"/>
          <w:lang w:val="en-GB"/>
        </w:rPr>
        <w:t xml:space="preserve"> The exchange of letters were other channels through which Protestant mothers acquired and shared their knowledge on how to properly dress,</w:t>
      </w:r>
      <w:r w:rsidRPr="00440B9F">
        <w:rPr>
          <w:rFonts w:ascii="Palatino Linotype" w:hAnsi="Palatino Linotype"/>
          <w:sz w:val="22"/>
          <w:szCs w:val="22"/>
          <w:vertAlign w:val="superscript"/>
          <w:lang w:val="en-GB"/>
        </w:rPr>
        <w:footnoteReference w:id="110"/>
      </w:r>
      <w:r w:rsidRPr="00440B9F">
        <w:rPr>
          <w:rFonts w:ascii="Palatino Linotype" w:hAnsi="Palatino Linotype"/>
          <w:sz w:val="22"/>
          <w:szCs w:val="22"/>
          <w:lang w:val="en-GB"/>
        </w:rPr>
        <w:t xml:space="preserve"> breast feed</w:t>
      </w:r>
      <w:r w:rsidRPr="00440B9F">
        <w:rPr>
          <w:rFonts w:ascii="Palatino Linotype" w:hAnsi="Palatino Linotype"/>
          <w:sz w:val="22"/>
          <w:szCs w:val="22"/>
          <w:vertAlign w:val="superscript"/>
          <w:lang w:val="en-GB"/>
        </w:rPr>
        <w:footnoteReference w:id="111"/>
      </w:r>
      <w:r w:rsidRPr="00440B9F">
        <w:rPr>
          <w:rFonts w:ascii="Palatino Linotype" w:hAnsi="Palatino Linotype"/>
          <w:sz w:val="22"/>
          <w:szCs w:val="22"/>
          <w:lang w:val="en-GB"/>
        </w:rPr>
        <w:t xml:space="preserve"> and treat the illnesses of their children.</w:t>
      </w:r>
      <w:r w:rsidRPr="00440B9F">
        <w:rPr>
          <w:rFonts w:ascii="Palatino Linotype" w:hAnsi="Palatino Linotype"/>
          <w:sz w:val="22"/>
          <w:szCs w:val="22"/>
          <w:vertAlign w:val="superscript"/>
          <w:lang w:val="en-GB"/>
        </w:rPr>
        <w:footnoteReference w:id="112"/>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It was believed that through applying their education, mothers could tame their children’s wild and independent spirits. Charlie Smith was described as a ‘mischievous [child], and needs constant care and watchfulness’.</w:t>
      </w:r>
      <w:r w:rsidRPr="00440B9F">
        <w:rPr>
          <w:rStyle w:val="FootnoteReference"/>
          <w:rFonts w:ascii="Palatino Linotype" w:hAnsi="Palatino Linotype"/>
          <w:sz w:val="22"/>
          <w:szCs w:val="22"/>
          <w:lang w:val="en-GB"/>
        </w:rPr>
        <w:footnoteReference w:id="113"/>
      </w:r>
      <w:r w:rsidRPr="00440B9F">
        <w:rPr>
          <w:rFonts w:ascii="Palatino Linotype" w:hAnsi="Palatino Linotype"/>
          <w:sz w:val="22"/>
          <w:szCs w:val="22"/>
          <w:lang w:val="en-GB"/>
        </w:rPr>
        <w:t xml:space="preserve"> Both Catherine DeForest and Hetty Smith found ‘it not small matter to train a boy even a good one’.</w:t>
      </w:r>
      <w:r w:rsidRPr="00440B9F">
        <w:rPr>
          <w:rStyle w:val="FootnoteReference"/>
          <w:rFonts w:ascii="Palatino Linotype" w:hAnsi="Palatino Linotype"/>
          <w:sz w:val="22"/>
          <w:szCs w:val="22"/>
          <w:lang w:val="en-GB"/>
        </w:rPr>
        <w:footnoteReference w:id="114"/>
      </w:r>
      <w:r w:rsidRPr="00440B9F">
        <w:rPr>
          <w:rFonts w:ascii="Palatino Linotype" w:hAnsi="Palatino Linotype"/>
          <w:sz w:val="22"/>
          <w:szCs w:val="22"/>
          <w:lang w:val="en-GB"/>
        </w:rPr>
        <w:t xml:space="preserve"> Through correcting and modifying his behaviour however, Catherine and Hetty encouraged Charlie’s ‘proper’ development. Methods of corrections included memorising passages of Scripture,</w:t>
      </w:r>
      <w:r w:rsidRPr="00440B9F">
        <w:rPr>
          <w:rStyle w:val="FootnoteReference"/>
          <w:rFonts w:ascii="Palatino Linotype" w:hAnsi="Palatino Linotype"/>
          <w:sz w:val="22"/>
          <w:szCs w:val="22"/>
          <w:lang w:val="en-GB"/>
        </w:rPr>
        <w:footnoteReference w:id="115"/>
      </w:r>
      <w:r w:rsidRPr="00440B9F">
        <w:rPr>
          <w:rFonts w:ascii="Palatino Linotype" w:hAnsi="Palatino Linotype"/>
          <w:sz w:val="22"/>
          <w:szCs w:val="22"/>
          <w:lang w:val="en-GB"/>
        </w:rPr>
        <w:t xml:space="preserve"> reciting lessons,</w:t>
      </w:r>
      <w:r w:rsidRPr="00440B9F">
        <w:rPr>
          <w:rStyle w:val="FootnoteReference"/>
          <w:rFonts w:ascii="Palatino Linotype" w:hAnsi="Palatino Linotype"/>
          <w:sz w:val="22"/>
          <w:szCs w:val="22"/>
          <w:lang w:val="en-GB"/>
        </w:rPr>
        <w:footnoteReference w:id="116"/>
      </w:r>
      <w:r w:rsidRPr="00440B9F">
        <w:rPr>
          <w:rFonts w:ascii="Palatino Linotype" w:hAnsi="Palatino Linotype"/>
          <w:sz w:val="22"/>
          <w:szCs w:val="22"/>
          <w:lang w:val="en-GB"/>
        </w:rPr>
        <w:t xml:space="preserve"> and upholding good manners, such as ‘[s]mall lads must not speak at table’.</w:t>
      </w:r>
      <w:r w:rsidRPr="00440B9F">
        <w:rPr>
          <w:rStyle w:val="FootnoteReference"/>
          <w:rFonts w:ascii="Palatino Linotype" w:hAnsi="Palatino Linotype"/>
          <w:sz w:val="22"/>
          <w:szCs w:val="22"/>
          <w:lang w:val="en-GB"/>
        </w:rPr>
        <w:footnoteReference w:id="117"/>
      </w:r>
      <w:r w:rsidRPr="00440B9F">
        <w:rPr>
          <w:rFonts w:ascii="Palatino Linotype" w:hAnsi="Palatino Linotype"/>
          <w:sz w:val="22"/>
          <w:szCs w:val="22"/>
          <w:lang w:val="en-GB"/>
        </w:rPr>
        <w:t xml:space="preserve"> In 1848, Catherine wrote that </w:t>
      </w:r>
    </w:p>
    <w:p w:rsidR="00665C5A" w:rsidRPr="00440B9F" w:rsidRDefault="00665C5A" w:rsidP="001761FF">
      <w:pPr>
        <w:pStyle w:val="BodyText"/>
        <w:ind w:left="720" w:right="634"/>
        <w:jc w:val="both"/>
        <w:rPr>
          <w:rFonts w:ascii="Palatino Linotype" w:hAnsi="Palatino Linotype"/>
          <w:sz w:val="22"/>
          <w:szCs w:val="22"/>
          <w:lang w:val="en-GB"/>
        </w:rPr>
      </w:pPr>
      <w:r w:rsidRPr="00440B9F">
        <w:rPr>
          <w:rFonts w:ascii="Palatino Linotype" w:hAnsi="Palatino Linotype"/>
          <w:sz w:val="22"/>
          <w:szCs w:val="22"/>
          <w:lang w:val="en-GB"/>
        </w:rPr>
        <w:t>[Charlie] knows several passages of Scripture and the other day Lulu heard him saying to himself the one beginning “children obey your parents” and after he had finished he made the application saying, “Charlie must obey papa and Aunty and Uncle”.</w:t>
      </w:r>
      <w:r w:rsidRPr="00440B9F">
        <w:rPr>
          <w:rStyle w:val="FootnoteReference"/>
          <w:rFonts w:ascii="Palatino Linotype" w:hAnsi="Palatino Linotype"/>
          <w:sz w:val="22"/>
          <w:szCs w:val="22"/>
          <w:lang w:val="en-GB"/>
        </w:rPr>
        <w:footnoteReference w:id="118"/>
      </w:r>
      <w:r w:rsidRPr="00440B9F">
        <w:rPr>
          <w:rFonts w:ascii="Palatino Linotype" w:hAnsi="Palatino Linotype"/>
          <w:sz w:val="22"/>
          <w:szCs w:val="22"/>
          <w:lang w:val="en-GB"/>
        </w:rPr>
        <w:t xml:space="preserve"> </w:t>
      </w:r>
    </w:p>
    <w:p w:rsidR="00665C5A" w:rsidRPr="00440B9F" w:rsidRDefault="00665C5A" w:rsidP="001761FF">
      <w:pPr>
        <w:pStyle w:val="BodyText"/>
        <w:ind w:left="720" w:right="634"/>
        <w:jc w:val="both"/>
        <w:rPr>
          <w:rFonts w:ascii="Palatino Linotype" w:hAnsi="Palatino Linotype"/>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By 1856, Hetty explained that ‘Charley is a great comfort to me. He tries to do well and seems very seriously inclined [illegible word] we see him a sincere child of God.’</w:t>
      </w:r>
      <w:r w:rsidRPr="00440B9F">
        <w:rPr>
          <w:rStyle w:val="FootnoteReference"/>
          <w:rFonts w:ascii="Palatino Linotype" w:hAnsi="Palatino Linotype"/>
          <w:sz w:val="22"/>
          <w:szCs w:val="22"/>
          <w:lang w:val="en-GB"/>
        </w:rPr>
        <w:footnoteReference w:id="119"/>
      </w:r>
      <w:r w:rsidRPr="00440B9F">
        <w:rPr>
          <w:rFonts w:ascii="Palatino Linotype" w:hAnsi="Palatino Linotype"/>
          <w:sz w:val="22"/>
          <w:szCs w:val="22"/>
          <w:lang w:val="en-GB"/>
        </w:rPr>
        <w:t xml:space="preserve"> Through carefully guiding his moral and educational development, Catherine and Hetty were able to calm Charlie’s wild spirit into a pious, polite and Protestant young adult.</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 Corrective training may have also included corporal punishment. Hetty Smith retold an encounter with a Syrian mother whose son began to ‘beat her and tried to choke her’. In response, Hetty ‘expostulated with her and tried to tell her how wrong it was and how much better it would be for her and him if she would control him. [The mother] replied, he was all she had. [Hetty] then asked her why does not his Father whip him’.</w:t>
      </w:r>
      <w:r w:rsidRPr="00440B9F">
        <w:rPr>
          <w:rFonts w:ascii="Palatino Linotype" w:hAnsi="Palatino Linotype"/>
          <w:sz w:val="22"/>
          <w:szCs w:val="22"/>
          <w:vertAlign w:val="superscript"/>
          <w:lang w:val="en-GB"/>
        </w:rPr>
        <w:footnoteReference w:id="120"/>
      </w:r>
      <w:r w:rsidRPr="00440B9F">
        <w:rPr>
          <w:rFonts w:ascii="Palatino Linotype" w:hAnsi="Palatino Linotype"/>
          <w:sz w:val="22"/>
          <w:szCs w:val="22"/>
          <w:lang w:val="en-GB"/>
        </w:rPr>
        <w:t xml:space="preserve"> Although this is the only reference to corporal punishment found during the research for this thesis, other historians argue that physical discipline was a method deemed proper by Protestant missionaries to modify children’s (mis)behaviour.</w:t>
      </w:r>
      <w:r w:rsidRPr="00440B9F">
        <w:rPr>
          <w:rStyle w:val="FootnoteReference"/>
          <w:rFonts w:ascii="Palatino Linotype" w:hAnsi="Palatino Linotype"/>
          <w:sz w:val="22"/>
          <w:szCs w:val="22"/>
          <w:lang w:val="en-GB"/>
        </w:rPr>
        <w:footnoteReference w:id="121"/>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Protestant Circle recognised that women’s ability to perform educated motherhood and guide their children’s development (according to Protestant standards) was not equally shared by all women. Rather, divisions separated women based upon their (perceived) ability to properly mother their children. In contrast to Catherine DeForest and Hetty Smith who correctly tamed Charlie, non-Protestant Syrian mothers were often regarded as ‘ignorant’ and ‘degraded’, just as many of the new Syrian Protestants were illiterate and lacked Protestant education. As a result, many converts received training on how to reform their mothering practices. For example, mothers in Hasbaya were initially regarded as ‘bad’ and ‘degraded’ since they allowed their children to act ‘as wild as Arab colts’, even though the women professed to be Protestants.</w:t>
      </w:r>
      <w:r w:rsidRPr="00440B9F">
        <w:rPr>
          <w:rStyle w:val="FootnoteReference"/>
          <w:rFonts w:ascii="Palatino Linotype" w:hAnsi="Palatino Linotype"/>
          <w:sz w:val="22"/>
          <w:szCs w:val="22"/>
          <w:lang w:val="en-GB"/>
        </w:rPr>
        <w:footnoteReference w:id="122"/>
      </w:r>
      <w:r w:rsidRPr="00440B9F">
        <w:rPr>
          <w:rFonts w:ascii="Palatino Linotype" w:hAnsi="Palatino Linotype"/>
          <w:sz w:val="22"/>
          <w:szCs w:val="22"/>
          <w:lang w:val="en-GB"/>
        </w:rPr>
        <w:t xml:space="preserve"> This ‘necessitated’ the organisation of schools and the distribution of ‘[a] small tract on the duties of children’ to instruct both mothers and children in how to behave like ‘proper’ Protestants.</w:t>
      </w:r>
      <w:r w:rsidRPr="00440B9F">
        <w:rPr>
          <w:rFonts w:ascii="Palatino Linotype" w:hAnsi="Palatino Linotype"/>
          <w:sz w:val="22"/>
          <w:szCs w:val="22"/>
          <w:vertAlign w:val="superscript"/>
          <w:lang w:val="en-GB"/>
        </w:rPr>
        <w:footnoteReference w:id="123"/>
      </w:r>
      <w:r w:rsidRPr="00440B9F">
        <w:rPr>
          <w:rFonts w:ascii="Palatino Linotype" w:hAnsi="Palatino Linotype"/>
          <w:sz w:val="22"/>
          <w:szCs w:val="22"/>
          <w:lang w:val="en-GB"/>
        </w:rPr>
        <w:t xml:space="preserve"> Over the next fifteen years, the ABCFM missionaries and elite Syrian Protestants witnessed a change in the behaviour of the Hasbaya women and their children, which was attributed to the deepening of the women’s knowledge of Protestant culture.</w:t>
      </w:r>
      <w:r w:rsidRPr="00440B9F">
        <w:rPr>
          <w:rStyle w:val="FootnoteReference"/>
          <w:rFonts w:ascii="Palatino Linotype" w:hAnsi="Palatino Linotype"/>
          <w:sz w:val="22"/>
          <w:szCs w:val="22"/>
          <w:lang w:val="en-GB"/>
        </w:rPr>
        <w:footnoteReference w:id="124"/>
      </w:r>
      <w:r w:rsidRPr="00440B9F">
        <w:rPr>
          <w:rFonts w:ascii="Palatino Linotype" w:hAnsi="Palatino Linotype"/>
          <w:sz w:val="22"/>
          <w:szCs w:val="22"/>
          <w:lang w:val="en-GB"/>
        </w:rPr>
        <w:tab/>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 </w:t>
      </w:r>
      <w:r w:rsidRPr="00440B9F">
        <w:rPr>
          <w:rFonts w:ascii="Palatino Linotype" w:hAnsi="Palatino Linotype"/>
          <w:sz w:val="22"/>
          <w:szCs w:val="22"/>
          <w:lang w:val="en-GB"/>
        </w:rPr>
        <w:tab/>
        <w:t>The knowledge of certain scientific concepts functioned as another criterion to judge mothers. As part of the institutionalised of medicine in both the United States and the Ottoman Empire during the nineteenth century, obstetrical and gynaecological practices were increasingly performed (and regulated) by officially certified male doctors.</w:t>
      </w:r>
      <w:r w:rsidRPr="00440B9F">
        <w:rPr>
          <w:rFonts w:ascii="Palatino Linotype" w:hAnsi="Palatino Linotype"/>
          <w:sz w:val="22"/>
          <w:szCs w:val="22"/>
          <w:vertAlign w:val="superscript"/>
          <w:lang w:val="en-GB"/>
        </w:rPr>
        <w:footnoteReference w:id="125"/>
      </w:r>
      <w:r w:rsidRPr="00440B9F">
        <w:rPr>
          <w:rFonts w:ascii="Palatino Linotype" w:hAnsi="Palatino Linotype"/>
          <w:sz w:val="22"/>
          <w:szCs w:val="22"/>
          <w:lang w:val="en-GB"/>
        </w:rPr>
        <w:t xml:space="preserve"> For most missionary women, a certified doctor and his wife were present at childbirth.</w:t>
      </w:r>
      <w:r w:rsidRPr="00440B9F">
        <w:rPr>
          <w:rStyle w:val="FootnoteReference"/>
          <w:rFonts w:ascii="Palatino Linotype" w:hAnsi="Palatino Linotype"/>
          <w:sz w:val="22"/>
          <w:szCs w:val="22"/>
          <w:lang w:val="en-GB"/>
        </w:rPr>
        <w:footnoteReference w:id="126"/>
      </w:r>
      <w:r w:rsidRPr="00440B9F">
        <w:rPr>
          <w:rFonts w:ascii="Palatino Linotype" w:hAnsi="Palatino Linotype"/>
          <w:sz w:val="22"/>
          <w:szCs w:val="22"/>
          <w:lang w:val="en-GB"/>
        </w:rPr>
        <w:t xml:space="preserve"> In the two cases when the missionary mother died from complications during childbirth, the doctors were not found at fault.</w:t>
      </w:r>
      <w:r w:rsidRPr="00440B9F">
        <w:rPr>
          <w:rStyle w:val="FootnoteReference"/>
          <w:rFonts w:ascii="Palatino Linotype" w:hAnsi="Palatino Linotype"/>
          <w:sz w:val="22"/>
          <w:szCs w:val="22"/>
          <w:lang w:val="en-GB"/>
        </w:rPr>
        <w:footnoteReference w:id="127"/>
      </w:r>
      <w:r w:rsidRPr="00440B9F">
        <w:rPr>
          <w:rFonts w:ascii="Palatino Linotype" w:hAnsi="Palatino Linotype"/>
          <w:sz w:val="22"/>
          <w:szCs w:val="22"/>
          <w:lang w:val="en-GB"/>
        </w:rPr>
        <w:t xml:space="preserve"> Rather, as in the case of Catherine Wolcott, the doctor was regarded as ‘skilful in these matters’, for he ‘devoted his medical reading for two months previous to a preparation for this case’ and even applied the forceps to assist in the eventually failed delivery.</w:t>
      </w:r>
      <w:r w:rsidRPr="00440B9F">
        <w:rPr>
          <w:rStyle w:val="FootnoteReference"/>
          <w:rFonts w:ascii="Palatino Linotype" w:hAnsi="Palatino Linotype"/>
          <w:sz w:val="22"/>
          <w:szCs w:val="22"/>
          <w:lang w:val="en-GB"/>
        </w:rPr>
        <w:footnoteReference w:id="128"/>
      </w:r>
      <w:r w:rsidRPr="00440B9F">
        <w:rPr>
          <w:rFonts w:ascii="Palatino Linotype" w:hAnsi="Palatino Linotype"/>
          <w:sz w:val="22"/>
          <w:szCs w:val="22"/>
          <w:lang w:val="en-GB"/>
        </w:rPr>
        <w:t xml:space="preserve"> After childbirth, these certified doctors vaccinated Protestant children and provided treatment during cases of extreme illness.</w:t>
      </w:r>
      <w:r w:rsidRPr="00440B9F">
        <w:rPr>
          <w:rFonts w:ascii="Palatino Linotype" w:hAnsi="Palatino Linotype"/>
          <w:sz w:val="22"/>
          <w:szCs w:val="22"/>
          <w:vertAlign w:val="superscript"/>
          <w:lang w:val="en-GB"/>
        </w:rPr>
        <w:footnoteReference w:id="129"/>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Although certified doctors were held in high esteem, they did not monopolise the medical knowledge on how to treat mothers and children within the Protestant Circle. It has already been noted that Loanza Benton was a medically trained doctor. Although the ABCFM did not recognise her medical credentials, both missionary and Syrian mothers sought Loanza for medical advice, thus affirming her qualifications.</w:t>
      </w:r>
      <w:r w:rsidRPr="00440B9F">
        <w:rPr>
          <w:rStyle w:val="FootnoteReference"/>
          <w:rFonts w:ascii="Palatino Linotype" w:hAnsi="Palatino Linotype"/>
          <w:sz w:val="22"/>
          <w:szCs w:val="22"/>
          <w:lang w:val="en-GB"/>
        </w:rPr>
        <w:footnoteReference w:id="130"/>
      </w:r>
      <w:r w:rsidRPr="00440B9F">
        <w:rPr>
          <w:rFonts w:ascii="Palatino Linotype" w:hAnsi="Palatino Linotype"/>
          <w:sz w:val="22"/>
          <w:szCs w:val="22"/>
          <w:lang w:val="en-GB"/>
        </w:rPr>
        <w:t xml:space="preserve"> The wives of certified doctors also possessed high levels of scientific knowledge and regularly assisted with their husbands’ work. Although male doctors were present during the delivery of most missionary children (with the exception of Loanza Benton’s self delivery),</w:t>
      </w:r>
      <w:r w:rsidRPr="00440B9F">
        <w:rPr>
          <w:rStyle w:val="FootnoteReference"/>
          <w:rFonts w:ascii="Palatino Linotype" w:hAnsi="Palatino Linotype"/>
          <w:sz w:val="22"/>
          <w:szCs w:val="22"/>
          <w:lang w:val="en-GB"/>
        </w:rPr>
        <w:footnoteReference w:id="131"/>
      </w:r>
      <w:r w:rsidRPr="00440B9F">
        <w:rPr>
          <w:rFonts w:ascii="Palatino Linotype" w:hAnsi="Palatino Linotype"/>
          <w:sz w:val="22"/>
          <w:szCs w:val="22"/>
          <w:lang w:val="en-GB"/>
        </w:rPr>
        <w:t xml:space="preserve"> it was the wives of missionary doctors who were more often consulted by mothers during their pregnancies and for the daily care of children. For example, Catherine DeForest provided Hetty Smith with a recipe for a wash that eased breastfeeding, which was forwarded to Hetty’s sister in the United States.</w:t>
      </w:r>
      <w:r w:rsidRPr="00440B9F">
        <w:rPr>
          <w:rStyle w:val="FootnoteReference"/>
          <w:rFonts w:ascii="Palatino Linotype" w:hAnsi="Palatino Linotype"/>
          <w:sz w:val="22"/>
          <w:szCs w:val="22"/>
          <w:lang w:val="en-GB"/>
        </w:rPr>
        <w:footnoteReference w:id="132"/>
      </w:r>
      <w:r w:rsidRPr="00440B9F">
        <w:rPr>
          <w:rFonts w:ascii="Palatino Linotype" w:hAnsi="Palatino Linotype"/>
          <w:sz w:val="22"/>
          <w:szCs w:val="22"/>
          <w:lang w:val="en-GB"/>
        </w:rPr>
        <w:t xml:space="preserve"> Six years later, Catherine wrote to Hetty with detailed instructions on how to sooth her daughter’s illness, for Catherine’s doctor husband was unable to visit the sick child, due to his own illness.</w:t>
      </w:r>
      <w:r w:rsidRPr="00440B9F">
        <w:rPr>
          <w:rStyle w:val="FootnoteReference"/>
          <w:rFonts w:ascii="Palatino Linotype" w:hAnsi="Palatino Linotype"/>
          <w:sz w:val="22"/>
          <w:szCs w:val="22"/>
          <w:lang w:val="en-GB"/>
        </w:rPr>
        <w:footnoteReference w:id="133"/>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actual definition of science articulated by the ABCFM missionary women encompassed a wide-range of opinions on how to treat children, particularly when compared to present day definitions of medicine. For example, one requirement of proper mothers was to encourage the healthy development of her children. As a result, both Catherine DeForest and Hetty Smith were hesitant to push the children under their care to read too much, ‘lest [the child’s] brain would weaken [the] body’.</w:t>
      </w:r>
      <w:r w:rsidRPr="00440B9F">
        <w:rPr>
          <w:rStyle w:val="FootnoteReference"/>
          <w:rFonts w:ascii="Palatino Linotype" w:hAnsi="Palatino Linotype"/>
          <w:sz w:val="22"/>
          <w:szCs w:val="22"/>
          <w:lang w:val="en-GB"/>
        </w:rPr>
        <w:footnoteReference w:id="134"/>
      </w:r>
      <w:r w:rsidRPr="00440B9F">
        <w:rPr>
          <w:rFonts w:ascii="Palatino Linotype" w:hAnsi="Palatino Linotype"/>
          <w:sz w:val="22"/>
          <w:szCs w:val="22"/>
          <w:lang w:val="en-GB"/>
        </w:rPr>
        <w:t xml:space="preserve"> Their caution was grounded upon contemporary scientific literature that argued that bodily and mental health was affected by ‘excessive exercise of the intellect or feeling’.</w:t>
      </w:r>
      <w:r w:rsidRPr="00440B9F">
        <w:rPr>
          <w:rStyle w:val="FootnoteReference"/>
          <w:rFonts w:ascii="Palatino Linotype" w:hAnsi="Palatino Linotype"/>
          <w:sz w:val="22"/>
          <w:szCs w:val="22"/>
          <w:lang w:val="en-GB"/>
        </w:rPr>
        <w:footnoteReference w:id="135"/>
      </w:r>
      <w:r w:rsidRPr="00440B9F">
        <w:rPr>
          <w:rFonts w:ascii="Palatino Linotype" w:hAnsi="Palatino Linotype"/>
          <w:sz w:val="22"/>
          <w:szCs w:val="22"/>
          <w:lang w:val="en-GB"/>
        </w:rPr>
        <w:t xml:space="preserve"> Protestant mothers’ ‘scientific’ knowledge was also refined by tried, ‘homespun’ treatments. In 1850, Hetty Smith reported that a teaspoon of brandy for several days cured her daughter, Mary, of diarrhoea; while almond oil soothed her baby Eli’s cough.</w:t>
      </w:r>
      <w:r w:rsidRPr="00440B9F">
        <w:rPr>
          <w:rStyle w:val="FootnoteReference"/>
          <w:rFonts w:ascii="Palatino Linotype" w:hAnsi="Palatino Linotype"/>
          <w:sz w:val="22"/>
          <w:szCs w:val="22"/>
          <w:lang w:val="en-GB"/>
        </w:rPr>
        <w:footnoteReference w:id="136"/>
      </w:r>
      <w:r w:rsidRPr="00440B9F">
        <w:rPr>
          <w:rFonts w:ascii="Palatino Linotype" w:hAnsi="Palatino Linotype"/>
          <w:sz w:val="22"/>
          <w:szCs w:val="22"/>
          <w:lang w:val="en-GB"/>
        </w:rPr>
        <w:t xml:space="preserve"> Likewise, a list of medical supplies requested for the Beirut station in 1835 included morphine, iodine, quinine, plasters, splints and a breast pump as well as valerian, caster oil, chamomile extract and ‘blue pill’.</w:t>
      </w:r>
      <w:r w:rsidRPr="00440B9F">
        <w:rPr>
          <w:rStyle w:val="FootnoteReference"/>
          <w:rFonts w:ascii="Palatino Linotype" w:hAnsi="Palatino Linotype"/>
          <w:sz w:val="22"/>
          <w:szCs w:val="22"/>
          <w:lang w:val="en-GB"/>
        </w:rPr>
        <w:footnoteReference w:id="137"/>
      </w:r>
      <w:r w:rsidRPr="00440B9F">
        <w:rPr>
          <w:rFonts w:ascii="Palatino Linotype" w:hAnsi="Palatino Linotype"/>
          <w:sz w:val="22"/>
          <w:szCs w:val="22"/>
          <w:lang w:val="en-GB"/>
        </w:rPr>
        <w:t xml:space="preserve"> Thus, a good mother evaluated the severity of her children’s illnesses,</w:t>
      </w:r>
      <w:r w:rsidRPr="00440B9F">
        <w:rPr>
          <w:rFonts w:ascii="Palatino Linotype" w:hAnsi="Palatino Linotype"/>
          <w:sz w:val="22"/>
          <w:szCs w:val="22"/>
          <w:vertAlign w:val="superscript"/>
          <w:lang w:val="en-GB"/>
        </w:rPr>
        <w:footnoteReference w:id="138"/>
      </w:r>
      <w:r w:rsidRPr="00440B9F">
        <w:rPr>
          <w:rFonts w:ascii="Palatino Linotype" w:hAnsi="Palatino Linotype"/>
          <w:sz w:val="22"/>
          <w:szCs w:val="22"/>
          <w:lang w:val="en-GB"/>
        </w:rPr>
        <w:t xml:space="preserve"> investigated the different options for treatment and judged if the medical advice given by a certified doctor was consistent with her own experiences.</w:t>
      </w:r>
      <w:r w:rsidRPr="00440B9F">
        <w:rPr>
          <w:rFonts w:ascii="Palatino Linotype" w:hAnsi="Palatino Linotype"/>
          <w:sz w:val="22"/>
          <w:szCs w:val="22"/>
          <w:vertAlign w:val="superscript"/>
          <w:lang w:val="en-GB"/>
        </w:rPr>
        <w:footnoteReference w:id="139"/>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In contrast, others were regarded as improper or bad if they rejected the specific definition of science promoted by Protestant women and employed their own ‘superstitious’ or ‘traditional’ practices to protect the health of their children. Butrus al-Bustani argued that instead of studying scientific literature, improper mothers followed the advice of </w:t>
      </w:r>
    </w:p>
    <w:p w:rsidR="00665C5A" w:rsidRDefault="00665C5A" w:rsidP="001761FF">
      <w:pPr>
        <w:pStyle w:val="BodyText"/>
        <w:ind w:left="720" w:right="634"/>
        <w:jc w:val="both"/>
        <w:rPr>
          <w:rFonts w:ascii="Palatino Linotype" w:hAnsi="Palatino Linotype"/>
          <w:lang w:val="en-GB"/>
        </w:rPr>
      </w:pPr>
      <w:r w:rsidRPr="00440B9F">
        <w:rPr>
          <w:rFonts w:ascii="Palatino Linotype" w:hAnsi="Palatino Linotype"/>
          <w:sz w:val="22"/>
          <w:szCs w:val="22"/>
          <w:lang w:val="en-GB"/>
        </w:rPr>
        <w:t>that huge unwritten book, that famous volume called “Ketab en Nissa,” the “Book of the Women,” a work which has no existence among civilized women; or ask the old wives who have read it, and taught it in their schools of superstition.</w:t>
      </w:r>
      <w:r w:rsidRPr="00440B9F">
        <w:rPr>
          <w:rFonts w:ascii="Palatino Linotype" w:hAnsi="Palatino Linotype"/>
          <w:sz w:val="22"/>
          <w:szCs w:val="22"/>
          <w:vertAlign w:val="superscript"/>
          <w:lang w:val="en-GB"/>
        </w:rPr>
        <w:footnoteReference w:id="140"/>
      </w:r>
      <w:r w:rsidRPr="00440B9F">
        <w:rPr>
          <w:rFonts w:ascii="Palatino Linotype" w:hAnsi="Palatino Linotype"/>
          <w:sz w:val="22"/>
          <w:szCs w:val="22"/>
          <w:lang w:val="en-GB"/>
        </w:rPr>
        <w:t xml:space="preserve"> </w:t>
      </w:r>
    </w:p>
    <w:p w:rsidR="00665C5A" w:rsidRPr="00440B9F" w:rsidRDefault="00665C5A" w:rsidP="001761FF">
      <w:pPr>
        <w:pStyle w:val="BodyText"/>
        <w:ind w:left="720" w:right="634"/>
        <w:jc w:val="both"/>
        <w:rPr>
          <w:rFonts w:ascii="Palatino Linotype" w:hAnsi="Palatino Linotype"/>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This ‘book’ encouraged the use of amulets, incense and intercessory prayers to Mary to ward off evil and prevent the ill health of children. The Protestants argued that ‘[a]ll the people in this country believe in demonical possession, and nearly all wear charms against witchcraft, evil eye, etc.’</w:t>
      </w:r>
      <w:r w:rsidRPr="00440B9F">
        <w:rPr>
          <w:rFonts w:ascii="Palatino Linotype" w:hAnsi="Palatino Linotype"/>
          <w:sz w:val="22"/>
          <w:szCs w:val="22"/>
          <w:vertAlign w:val="superscript"/>
          <w:lang w:val="en-GB"/>
        </w:rPr>
        <w:footnoteReference w:id="141"/>
      </w:r>
      <w:r w:rsidRPr="00440B9F">
        <w:rPr>
          <w:rFonts w:ascii="Palatino Linotype" w:hAnsi="Palatino Linotype"/>
          <w:sz w:val="22"/>
          <w:szCs w:val="22"/>
          <w:lang w:val="en-GB"/>
        </w:rPr>
        <w:t xml:space="preserve"> Rebecca Hebard regretted that when asked to treat Syrian children, their mothers did not request medicine to cure the child’s illness, but that Rebecca would ‘lay [her] hands on the heads of their sick children and bless them’. Although Rebecca agreed to dispense medicine, she used these opportunities to ‘direct [the mothers] to the Great Physician who can only bless and give efficacy to the means’.</w:t>
      </w:r>
      <w:r w:rsidRPr="00440B9F">
        <w:rPr>
          <w:rStyle w:val="FootnoteReference"/>
          <w:rFonts w:ascii="Palatino Linotype" w:hAnsi="Palatino Linotype"/>
          <w:sz w:val="22"/>
          <w:szCs w:val="22"/>
          <w:lang w:val="en-GB"/>
        </w:rPr>
        <w:footnoteReference w:id="142"/>
      </w:r>
      <w:r w:rsidRPr="00440B9F">
        <w:rPr>
          <w:rFonts w:ascii="Palatino Linotype" w:hAnsi="Palatino Linotype"/>
          <w:sz w:val="22"/>
          <w:szCs w:val="22"/>
          <w:lang w:val="en-GB"/>
        </w:rPr>
        <w:t xml:space="preserve"> While Rebecca’s assertion was intended to ‘correct’ the mothering skills of these bad mothers, her response illuminates that mothering for the Protestants was a mixture of certified scientific knowledge and home-spun experiences, which affirmed their own faith in Protestant dogma.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 In addition to criticising mothers for their attempts to mystically alleviate their children’s ill health, the Protestants also regarded improper mothering as a cause of illness. Abby Bliss reproached Syrian mothers who swaddled their infants in smoke filled rooms.</w:t>
      </w:r>
      <w:r w:rsidRPr="00440B9F">
        <w:rPr>
          <w:rStyle w:val="FootnoteReference"/>
          <w:rFonts w:ascii="Palatino Linotype" w:hAnsi="Palatino Linotype"/>
          <w:sz w:val="22"/>
          <w:szCs w:val="22"/>
          <w:lang w:val="en-GB"/>
        </w:rPr>
        <w:footnoteReference w:id="143"/>
      </w:r>
      <w:r w:rsidRPr="00440B9F">
        <w:rPr>
          <w:rFonts w:ascii="Palatino Linotype" w:hAnsi="Palatino Linotype"/>
          <w:sz w:val="22"/>
          <w:szCs w:val="22"/>
          <w:lang w:val="en-GB"/>
        </w:rPr>
        <w:t xml:space="preserve"> Other Protestants agreed, and argued that swaddling affected the shape of the child’s head, while the smoke was deemed harmful to the eyes and restricted the flow of oxygen in the body.</w:t>
      </w:r>
      <w:r w:rsidRPr="00440B9F">
        <w:rPr>
          <w:rFonts w:ascii="Palatino Linotype" w:hAnsi="Palatino Linotype"/>
          <w:sz w:val="22"/>
          <w:szCs w:val="22"/>
          <w:vertAlign w:val="superscript"/>
          <w:lang w:val="en-GB"/>
        </w:rPr>
        <w:footnoteReference w:id="144"/>
      </w:r>
      <w:r w:rsidRPr="00440B9F">
        <w:rPr>
          <w:rFonts w:ascii="Palatino Linotype" w:hAnsi="Palatino Linotype"/>
          <w:sz w:val="22"/>
          <w:szCs w:val="22"/>
          <w:lang w:val="en-GB"/>
        </w:rPr>
        <w:t xml:space="preserve"> It was often through delineating the dangers improper mothers posed to their children that the Protestants justified their educational services for both Syrian mothers and young Syrian girls, as a means to prevent future harm.</w:t>
      </w:r>
      <w:r w:rsidRPr="00440B9F">
        <w:rPr>
          <w:rStyle w:val="FootnoteReference"/>
          <w:rFonts w:ascii="Palatino Linotype" w:hAnsi="Palatino Linotype"/>
          <w:sz w:val="22"/>
          <w:szCs w:val="22"/>
          <w:lang w:val="en-GB"/>
        </w:rPr>
        <w:footnoteReference w:id="145"/>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Cleanliness of the self and of one’s children functioned as another criterion for the Protestants to judge the mothering performed by women.</w:t>
      </w:r>
      <w:r w:rsidRPr="00440B9F">
        <w:rPr>
          <w:rStyle w:val="FootnoteReference"/>
          <w:rFonts w:ascii="Palatino Linotype" w:hAnsi="Palatino Linotype"/>
          <w:sz w:val="22"/>
          <w:szCs w:val="22"/>
          <w:lang w:val="en-GB"/>
        </w:rPr>
        <w:footnoteReference w:id="146"/>
      </w:r>
      <w:r w:rsidRPr="00440B9F">
        <w:rPr>
          <w:rFonts w:ascii="Palatino Linotype" w:hAnsi="Palatino Linotype"/>
          <w:sz w:val="22"/>
          <w:szCs w:val="22"/>
          <w:lang w:val="en-GB"/>
        </w:rPr>
        <w:t xml:space="preserve"> Bathing occurred daily within missionary homes, either before dressing in the morning, or in the evening.</w:t>
      </w:r>
      <w:r w:rsidRPr="00440B9F">
        <w:rPr>
          <w:rFonts w:ascii="Palatino Linotype" w:hAnsi="Palatino Linotype"/>
          <w:sz w:val="22"/>
          <w:szCs w:val="22"/>
          <w:vertAlign w:val="superscript"/>
          <w:lang w:val="en-GB"/>
        </w:rPr>
        <w:footnoteReference w:id="147"/>
      </w:r>
      <w:r w:rsidRPr="00440B9F">
        <w:rPr>
          <w:rFonts w:ascii="Palatino Linotype" w:hAnsi="Palatino Linotype"/>
          <w:sz w:val="22"/>
          <w:szCs w:val="22"/>
          <w:lang w:val="en-GB"/>
        </w:rPr>
        <w:t xml:space="preserve"> Mothers were to ensure that they and their children appeared to be free of dirt, which was a constant challenge on the unpaved streets of Syria. Clothing choice assisted in maintaining this requirement, for items were to be ‘not too light [in colour] for [they] will soil quick if it were not for that I would have it white’.</w:t>
      </w:r>
      <w:r w:rsidRPr="00440B9F">
        <w:rPr>
          <w:rStyle w:val="FootnoteReference"/>
          <w:rFonts w:ascii="Palatino Linotype" w:hAnsi="Palatino Linotype"/>
          <w:sz w:val="22"/>
          <w:szCs w:val="22"/>
          <w:lang w:val="en-GB"/>
        </w:rPr>
        <w:footnoteReference w:id="148"/>
      </w:r>
      <w:r w:rsidRPr="00440B9F">
        <w:rPr>
          <w:rFonts w:ascii="Palatino Linotype" w:hAnsi="Palatino Linotype"/>
          <w:sz w:val="22"/>
          <w:szCs w:val="22"/>
          <w:lang w:val="en-GB"/>
        </w:rPr>
        <w:t xml:space="preserve"> Diapers and undergarments were changed frequently due to the fear that they would spoil in the Syrian climate.</w:t>
      </w:r>
      <w:r w:rsidRPr="00440B9F">
        <w:rPr>
          <w:rStyle w:val="FootnoteReference"/>
          <w:rFonts w:ascii="Palatino Linotype" w:hAnsi="Palatino Linotype"/>
          <w:sz w:val="22"/>
          <w:szCs w:val="22"/>
          <w:lang w:val="en-GB"/>
        </w:rPr>
        <w:footnoteReference w:id="149"/>
      </w:r>
      <w:r w:rsidRPr="00440B9F">
        <w:rPr>
          <w:rFonts w:ascii="Palatino Linotype" w:hAnsi="Palatino Linotype"/>
          <w:sz w:val="22"/>
          <w:szCs w:val="22"/>
          <w:lang w:val="en-GB"/>
        </w:rPr>
        <w:t xml:space="preserve"> The Protestants recommended that undergarments be worn ‘whole with a drawing string in stead of binding’ or with the seams neatly finished, for ‘certain seasons of the year fleas are abundant. And it is desirable to deprive them of as many hiding places as possible!!!’</w:t>
      </w:r>
      <w:r w:rsidRPr="00440B9F">
        <w:rPr>
          <w:rStyle w:val="FootnoteReference"/>
          <w:rFonts w:ascii="Palatino Linotype" w:hAnsi="Palatino Linotype"/>
          <w:sz w:val="22"/>
          <w:szCs w:val="22"/>
          <w:lang w:val="en-GB"/>
        </w:rPr>
        <w:footnoteReference w:id="150"/>
      </w:r>
      <w:r w:rsidRPr="00440B9F">
        <w:rPr>
          <w:rFonts w:ascii="Palatino Linotype" w:hAnsi="Palatino Linotype"/>
          <w:sz w:val="22"/>
          <w:szCs w:val="22"/>
          <w:lang w:val="en-GB"/>
        </w:rPr>
        <w:t>Fleas were not only painful nuisances, but were regarded as a sign of dirtiness and were to be avoided by all means necessary.</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In contrast, non-Protestant mothers were often presented as unclean. Sarah Smith wrote that ‘[t]hese weak-minded Syrian females are not attentive to personal cleanliness; neither have they a neat and tasteful style of dress’, but wore ‘filthy, coarse, and scanty garb’.</w:t>
      </w:r>
      <w:r w:rsidRPr="00440B9F">
        <w:rPr>
          <w:rStyle w:val="FootnoteReference"/>
          <w:rFonts w:ascii="Palatino Linotype" w:hAnsi="Palatino Linotype"/>
          <w:sz w:val="22"/>
          <w:szCs w:val="22"/>
          <w:lang w:val="en-GB"/>
        </w:rPr>
        <w:footnoteReference w:id="151"/>
      </w:r>
      <w:r w:rsidRPr="00440B9F">
        <w:rPr>
          <w:rFonts w:ascii="Palatino Linotype" w:hAnsi="Palatino Linotype"/>
          <w:sz w:val="22"/>
          <w:szCs w:val="22"/>
          <w:lang w:val="en-GB"/>
        </w:rPr>
        <w:t xml:space="preserve"> Hetty Smith believed that Arab mothers ‘have a great dread of water, as you will readily understand if you could see them, frequently their children are not washed more than once a year’.</w:t>
      </w:r>
      <w:r w:rsidRPr="00440B9F">
        <w:rPr>
          <w:rStyle w:val="FootnoteReference"/>
          <w:rFonts w:ascii="Palatino Linotype" w:hAnsi="Palatino Linotype"/>
          <w:sz w:val="22"/>
          <w:szCs w:val="22"/>
          <w:lang w:val="en-GB"/>
        </w:rPr>
        <w:footnoteReference w:id="152"/>
      </w:r>
      <w:r w:rsidRPr="00440B9F">
        <w:rPr>
          <w:rFonts w:ascii="Palatino Linotype" w:hAnsi="Palatino Linotype"/>
          <w:sz w:val="22"/>
          <w:szCs w:val="22"/>
          <w:lang w:val="en-GB"/>
        </w:rPr>
        <w:t xml:space="preserve"> In addition to swaddling, Abby Bliss criticised another Syrian practice, when ‘[i]nfants are always rubbed over with salt and water for a week after their birth and then rubbed with oil every day for a month, and after that they are seldom or never washed’.</w:t>
      </w:r>
      <w:r w:rsidRPr="00440B9F">
        <w:rPr>
          <w:rStyle w:val="FootnoteReference"/>
          <w:rFonts w:ascii="Palatino Linotype" w:hAnsi="Palatino Linotype"/>
          <w:sz w:val="22"/>
          <w:szCs w:val="22"/>
          <w:lang w:val="en-GB"/>
        </w:rPr>
        <w:footnoteReference w:id="153"/>
      </w:r>
      <w:r w:rsidRPr="00440B9F">
        <w:rPr>
          <w:rFonts w:ascii="Palatino Linotype" w:hAnsi="Palatino Linotype"/>
          <w:sz w:val="22"/>
          <w:szCs w:val="22"/>
          <w:lang w:val="en-GB"/>
        </w:rPr>
        <w:t xml:space="preserve"> Abby concluded that although this ‘family [was] well off, [and are] able to live as well as we do if they chose’, they inhabited a ‘wretched, comfortless looking place’.</w:t>
      </w:r>
      <w:r w:rsidRPr="00440B9F">
        <w:rPr>
          <w:rStyle w:val="FootnoteReference"/>
          <w:rFonts w:ascii="Palatino Linotype" w:hAnsi="Palatino Linotype"/>
          <w:sz w:val="22"/>
          <w:szCs w:val="22"/>
          <w:lang w:val="en-GB"/>
        </w:rPr>
        <w:footnoteReference w:id="154"/>
      </w:r>
      <w:r w:rsidRPr="00440B9F">
        <w:rPr>
          <w:rFonts w:ascii="Palatino Linotype" w:hAnsi="Palatino Linotype"/>
          <w:sz w:val="22"/>
          <w:szCs w:val="22"/>
          <w:lang w:val="en-GB"/>
        </w:rPr>
        <w:t xml:space="preserve"> Thus, the dirty state of these mothers was perceived by the ABCFM missionaries to be their choice to reject (the ABCFM’s standard of) proper mothering and remain outside of the Protestant Circle.</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 Protestant education was therefore an important attribute of proper mothering. Mothers were to possess and perform the Protestants’ gendered definition of science in order to correctly guide their children’s moral and physical development. Employing this criterion distinguished those who were perceived to be proper from improper mothers, in a manner that emphasised the divisions, particularly that based upon race, which separated women within this community.</w:t>
      </w:r>
    </w:p>
    <w:p w:rsidR="00665C5A" w:rsidRPr="00440B9F" w:rsidRDefault="00665C5A" w:rsidP="001761FF">
      <w:pPr>
        <w:pStyle w:val="BodyText"/>
        <w:spacing w:line="360" w:lineRule="auto"/>
        <w:jc w:val="both"/>
        <w:rPr>
          <w:rFonts w:ascii="Palatino Linotype" w:hAnsi="Palatino Linotype"/>
          <w:sz w:val="22"/>
          <w:szCs w:val="22"/>
          <w:lang w:val="en-GB"/>
        </w:rPr>
      </w:pPr>
    </w:p>
    <w:p w:rsidR="00665C5A" w:rsidRPr="00440B9F" w:rsidRDefault="00665C5A" w:rsidP="001761FF">
      <w:pPr>
        <w:pStyle w:val="BodyText"/>
        <w:spacing w:line="360" w:lineRule="auto"/>
        <w:jc w:val="center"/>
        <w:outlineLvl w:val="0"/>
        <w:rPr>
          <w:rFonts w:ascii="Arial" w:hAnsi="Arial" w:cs="Arial"/>
          <w:i/>
          <w:smallCaps/>
          <w:sz w:val="22"/>
          <w:szCs w:val="22"/>
          <w:lang w:val="en-GB"/>
        </w:rPr>
      </w:pPr>
      <w:r w:rsidRPr="00440B9F">
        <w:rPr>
          <w:rFonts w:ascii="Arial" w:hAnsi="Arial" w:cs="Arial"/>
          <w:i/>
          <w:smallCaps/>
          <w:sz w:val="22"/>
          <w:szCs w:val="22"/>
          <w:lang w:val="en-GB"/>
        </w:rPr>
        <w:t>Mothering and Religious Development</w:t>
      </w:r>
    </w:p>
    <w:p w:rsidR="00665C5A" w:rsidRPr="00440B9F" w:rsidRDefault="00665C5A" w:rsidP="001761FF">
      <w:pPr>
        <w:pStyle w:val="BodyText"/>
        <w:spacing w:line="360" w:lineRule="auto"/>
        <w:jc w:val="both"/>
        <w:outlineLvl w:val="0"/>
        <w:rPr>
          <w:rFonts w:ascii="Palatino Linotype" w:hAnsi="Palatino Linotype"/>
          <w:smallCaps/>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The Protestants’ definition of mothering was also influenced by their specific theology and religious practices. The basic and unifying stance within the Circle was that individuals chose to become Protestants. In a somewhat paradoxical manner however, the community also believed that this choice could be encouraged within certain environments. Mothering was increasingly perceived to be a significant, if not the primary provision that encouraged a person’s pursuit of Protestantism.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By 1860, mothers were regarded as the moral guardians of children by the members of the Protestant Circle. Being a moral guardian meant that mothers were to teach their children the enlightened, but pious, ethics and behaviours of the Protestant faith and encourage them to become Protestants.</w:t>
      </w:r>
      <w:r w:rsidRPr="00440B9F">
        <w:rPr>
          <w:rFonts w:ascii="Palatino Linotype" w:hAnsi="Palatino Linotype"/>
          <w:sz w:val="22"/>
          <w:szCs w:val="22"/>
          <w:vertAlign w:val="superscript"/>
          <w:lang w:val="en-GB"/>
        </w:rPr>
        <w:footnoteReference w:id="155"/>
      </w:r>
      <w:r w:rsidRPr="00440B9F">
        <w:rPr>
          <w:rFonts w:ascii="Palatino Linotype" w:hAnsi="Palatino Linotype"/>
          <w:sz w:val="22"/>
          <w:szCs w:val="22"/>
          <w:lang w:val="en-GB"/>
        </w:rPr>
        <w:t xml:space="preserve"> Eli Smith emphasised the importance of this role, when, on his death bed, he implored his wife Hetty: ‘do not fail. </w:t>
      </w:r>
      <w:r w:rsidRPr="00440B9F">
        <w:rPr>
          <w:rFonts w:ascii="Palatino Linotype" w:hAnsi="Palatino Linotype"/>
          <w:sz w:val="22"/>
          <w:szCs w:val="22"/>
          <w:u w:val="single"/>
          <w:lang w:val="en-GB"/>
        </w:rPr>
        <w:t>Do not fail</w:t>
      </w:r>
      <w:r w:rsidRPr="00440B9F">
        <w:rPr>
          <w:rFonts w:ascii="Palatino Linotype" w:hAnsi="Palatino Linotype"/>
          <w:sz w:val="22"/>
          <w:szCs w:val="22"/>
          <w:lang w:val="en-GB"/>
        </w:rPr>
        <w:t xml:space="preserve">, and bring with you [into heaven] </w:t>
      </w:r>
      <w:r w:rsidRPr="00440B9F">
        <w:rPr>
          <w:rFonts w:ascii="Palatino Linotype" w:hAnsi="Palatino Linotype"/>
          <w:sz w:val="22"/>
          <w:szCs w:val="22"/>
          <w:u w:val="single"/>
          <w:lang w:val="en-GB"/>
        </w:rPr>
        <w:t>all</w:t>
      </w:r>
      <w:r w:rsidRPr="00440B9F">
        <w:rPr>
          <w:rFonts w:ascii="Palatino Linotype" w:hAnsi="Palatino Linotype"/>
          <w:sz w:val="22"/>
          <w:szCs w:val="22"/>
          <w:lang w:val="en-GB"/>
        </w:rPr>
        <w:t xml:space="preserve"> our dear children, </w:t>
      </w:r>
      <w:r w:rsidRPr="00440B9F">
        <w:rPr>
          <w:rFonts w:ascii="Palatino Linotype" w:hAnsi="Palatino Linotype"/>
          <w:sz w:val="22"/>
          <w:szCs w:val="22"/>
          <w:u w:val="single"/>
          <w:lang w:val="en-GB"/>
        </w:rPr>
        <w:t>all of them’</w:t>
      </w:r>
      <w:r w:rsidRPr="00440B9F">
        <w:rPr>
          <w:rFonts w:ascii="Palatino Linotype" w:hAnsi="Palatino Linotype"/>
          <w:sz w:val="22"/>
          <w:szCs w:val="22"/>
          <w:lang w:val="en-GB"/>
        </w:rPr>
        <w:t>.</w:t>
      </w:r>
      <w:r w:rsidRPr="00440B9F">
        <w:rPr>
          <w:rStyle w:val="FootnoteReference"/>
          <w:rFonts w:ascii="Palatino Linotype" w:hAnsi="Palatino Linotype"/>
          <w:sz w:val="22"/>
          <w:szCs w:val="22"/>
          <w:lang w:val="en-GB"/>
        </w:rPr>
        <w:footnoteReference w:id="156"/>
      </w:r>
      <w:r w:rsidRPr="00440B9F">
        <w:rPr>
          <w:rFonts w:ascii="Palatino Linotype" w:hAnsi="Palatino Linotype"/>
          <w:sz w:val="22"/>
          <w:szCs w:val="22"/>
          <w:lang w:val="en-GB"/>
        </w:rPr>
        <w:t xml:space="preserve"> Catherine DeForest explained that she ‘endeavoured to store [the minds of the children under her care]...with religious truth that [they] might be guarded and prepared to meet the temptations by which [they] will be summoned’.</w:t>
      </w:r>
      <w:r w:rsidRPr="00440B9F">
        <w:rPr>
          <w:rFonts w:ascii="Palatino Linotype" w:hAnsi="Palatino Linotype"/>
          <w:sz w:val="22"/>
          <w:szCs w:val="22"/>
          <w:vertAlign w:val="superscript"/>
          <w:lang w:val="en-GB"/>
        </w:rPr>
        <w:footnoteReference w:id="157"/>
      </w:r>
      <w:r w:rsidRPr="00440B9F">
        <w:rPr>
          <w:rFonts w:ascii="Palatino Linotype" w:hAnsi="Palatino Linotype"/>
          <w:sz w:val="22"/>
          <w:szCs w:val="22"/>
          <w:lang w:val="en-GB"/>
        </w:rPr>
        <w:t xml:space="preserve"> In contrast to the mothers who encouraged the Protestant development of their children, the ABCFM missionaries lamented over those who appeared to be enlightened and educated, but nevertheless upheld the religious tenets taught to them by their mothers and were never fully revived into the Protestant faith.</w:t>
      </w:r>
      <w:r w:rsidRPr="00440B9F">
        <w:rPr>
          <w:rFonts w:ascii="Palatino Linotype" w:hAnsi="Palatino Linotype"/>
          <w:sz w:val="22"/>
          <w:szCs w:val="22"/>
          <w:vertAlign w:val="superscript"/>
          <w:lang w:val="en-GB"/>
        </w:rPr>
        <w:footnoteReference w:id="158"/>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Certain practices emerged as the appropriate means for mothers to guide the moral and religious development of their children. One of the most important was the instruction of Protestant doctrine. As early as 1836, Tannous al-Haddad argued that the education of the children should include ‘the redemption by Jesus Christ’.</w:t>
      </w:r>
      <w:r w:rsidRPr="00440B9F">
        <w:rPr>
          <w:rStyle w:val="FootnoteReference"/>
          <w:rFonts w:ascii="Palatino Linotype" w:hAnsi="Palatino Linotype"/>
          <w:sz w:val="22"/>
          <w:szCs w:val="22"/>
          <w:lang w:val="en-GB"/>
        </w:rPr>
        <w:footnoteReference w:id="159"/>
      </w:r>
      <w:r w:rsidRPr="00440B9F">
        <w:rPr>
          <w:rFonts w:ascii="Palatino Linotype" w:hAnsi="Palatino Linotype"/>
          <w:sz w:val="22"/>
          <w:szCs w:val="22"/>
          <w:lang w:val="en-GB"/>
        </w:rPr>
        <w:t xml:space="preserve"> Children as young as three were expected to memorise several passages of Scripture, the Ten Commandments and the Lord’s Prayer in particular.</w:t>
      </w:r>
      <w:r w:rsidRPr="00440B9F">
        <w:rPr>
          <w:rStyle w:val="FootnoteReference"/>
          <w:rFonts w:ascii="Palatino Linotype" w:hAnsi="Palatino Linotype"/>
          <w:sz w:val="22"/>
          <w:szCs w:val="22"/>
          <w:lang w:val="en-GB"/>
        </w:rPr>
        <w:footnoteReference w:id="160"/>
      </w:r>
      <w:r w:rsidRPr="00440B9F">
        <w:rPr>
          <w:rFonts w:ascii="Palatino Linotype" w:hAnsi="Palatino Linotype"/>
          <w:sz w:val="22"/>
          <w:szCs w:val="22"/>
          <w:lang w:val="en-GB"/>
        </w:rPr>
        <w:t xml:space="preserve"> Mothers urged the communal and personal reading of Evangelical literature in the hopes that this would evoke ‘a great weight and sense of sin’.</w:t>
      </w:r>
      <w:r w:rsidRPr="00440B9F">
        <w:rPr>
          <w:rStyle w:val="FootnoteReference"/>
          <w:rFonts w:ascii="Palatino Linotype" w:hAnsi="Palatino Linotype"/>
          <w:sz w:val="22"/>
          <w:szCs w:val="22"/>
          <w:lang w:val="en-GB"/>
        </w:rPr>
        <w:footnoteReference w:id="161"/>
      </w:r>
      <w:r w:rsidRPr="00440B9F">
        <w:rPr>
          <w:rFonts w:ascii="Palatino Linotype" w:hAnsi="Palatino Linotype"/>
          <w:sz w:val="22"/>
          <w:szCs w:val="22"/>
          <w:lang w:val="en-GB"/>
        </w:rPr>
        <w:t xml:space="preserve"> Reading the </w:t>
      </w:r>
      <w:r w:rsidRPr="00440B9F">
        <w:rPr>
          <w:rFonts w:ascii="Palatino Linotype" w:hAnsi="Palatino Linotype"/>
          <w:i/>
          <w:sz w:val="22"/>
          <w:szCs w:val="22"/>
          <w:lang w:val="en-GB"/>
        </w:rPr>
        <w:t>Pilgrims Progress</w:t>
      </w:r>
      <w:r w:rsidRPr="00440B9F">
        <w:rPr>
          <w:rFonts w:ascii="Palatino Linotype" w:hAnsi="Palatino Linotype"/>
          <w:sz w:val="22"/>
          <w:szCs w:val="22"/>
          <w:lang w:val="en-GB"/>
        </w:rPr>
        <w:t xml:space="preserve"> or retelling Bible stories were entertaining activities that conflated religious and moral development with mother-child bonding.</w:t>
      </w:r>
      <w:r w:rsidRPr="00440B9F">
        <w:rPr>
          <w:rFonts w:ascii="Palatino Linotype" w:hAnsi="Palatino Linotype"/>
          <w:sz w:val="22"/>
          <w:szCs w:val="22"/>
          <w:vertAlign w:val="superscript"/>
          <w:lang w:val="en-GB"/>
        </w:rPr>
        <w:footnoteReference w:id="162"/>
      </w:r>
      <w:r w:rsidRPr="00440B9F">
        <w:rPr>
          <w:rFonts w:ascii="Palatino Linotype" w:hAnsi="Palatino Linotype"/>
          <w:sz w:val="22"/>
          <w:szCs w:val="22"/>
          <w:lang w:val="en-GB"/>
        </w:rPr>
        <w:t xml:space="preserve"> In addition, these religious stories presented models for child on how live like a Protestant.</w:t>
      </w:r>
      <w:r w:rsidRPr="00440B9F">
        <w:rPr>
          <w:rStyle w:val="FootnoteReference"/>
          <w:rFonts w:ascii="Palatino Linotype" w:hAnsi="Palatino Linotype"/>
          <w:sz w:val="22"/>
          <w:szCs w:val="22"/>
          <w:lang w:val="en-GB"/>
        </w:rPr>
        <w:footnoteReference w:id="163"/>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This religious development was reinforced through the daily activities in Protestant households. Morning prayers, blessings at meals, visitations for religious discussions, evening concerts of prayer and weekly Sabbath services, created a routine that emphasised the family’s Protestant commitment.</w:t>
      </w:r>
      <w:r w:rsidRPr="00440B9F">
        <w:rPr>
          <w:rFonts w:ascii="Palatino Linotype" w:hAnsi="Palatino Linotype"/>
          <w:sz w:val="22"/>
          <w:szCs w:val="22"/>
          <w:vertAlign w:val="superscript"/>
          <w:lang w:val="en-GB"/>
        </w:rPr>
        <w:footnoteReference w:id="164"/>
      </w:r>
      <w:r w:rsidRPr="00440B9F">
        <w:rPr>
          <w:rFonts w:ascii="Palatino Linotype" w:hAnsi="Palatino Linotype"/>
          <w:sz w:val="22"/>
          <w:szCs w:val="22"/>
          <w:lang w:val="en-GB"/>
        </w:rPr>
        <w:t xml:space="preserve"> These gatherings, which occurred in communal spaces like the parlour, brought together members of the Protestants’ mosaic households.</w:t>
      </w:r>
      <w:r w:rsidRPr="00440B9F">
        <w:rPr>
          <w:rStyle w:val="FootnoteReference"/>
          <w:rFonts w:ascii="Palatino Linotype" w:hAnsi="Palatino Linotype"/>
          <w:sz w:val="22"/>
          <w:szCs w:val="22"/>
          <w:lang w:val="en-GB"/>
        </w:rPr>
        <w:footnoteReference w:id="165"/>
      </w:r>
      <w:r w:rsidRPr="00440B9F">
        <w:rPr>
          <w:rFonts w:ascii="Palatino Linotype" w:hAnsi="Palatino Linotype"/>
          <w:sz w:val="22"/>
          <w:szCs w:val="22"/>
          <w:lang w:val="en-GB"/>
        </w:rPr>
        <w:t xml:space="preserve"> Although women were the primary nurturers of children’s religious development, fathers remained the spiritual heads Protestant families and were the primary conductors of family devotions.</w:t>
      </w:r>
      <w:r w:rsidRPr="00440B9F">
        <w:rPr>
          <w:rStyle w:val="FootnoteReference"/>
          <w:rFonts w:ascii="Palatino Linotype" w:hAnsi="Palatino Linotype"/>
          <w:sz w:val="22"/>
          <w:szCs w:val="22"/>
          <w:lang w:val="en-GB"/>
        </w:rPr>
        <w:footnoteReference w:id="166"/>
      </w:r>
      <w:r w:rsidRPr="00440B9F">
        <w:rPr>
          <w:rFonts w:ascii="Palatino Linotype" w:hAnsi="Palatino Linotype"/>
          <w:sz w:val="22"/>
          <w:szCs w:val="22"/>
          <w:lang w:val="en-GB"/>
        </w:rPr>
        <w:t xml:space="preserve"> However, as evangelical work increasingly drew men away from the home, particularly during the 1850s, it became more common for mothers to supervise daily religious instruction and conduct prayers with their children and servants.</w:t>
      </w:r>
      <w:r w:rsidRPr="00440B9F">
        <w:rPr>
          <w:rStyle w:val="FootnoteReference"/>
          <w:rFonts w:ascii="Palatino Linotype" w:hAnsi="Palatino Linotype"/>
          <w:sz w:val="22"/>
          <w:szCs w:val="22"/>
          <w:lang w:val="en-GB"/>
        </w:rPr>
        <w:footnoteReference w:id="167"/>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organisation of the family schedule around these religious activities marked the Protestant household as different from non-Protestant families. This distinction allowed the Protestant family, and the mother who managed the household, to be presented as models for non-Protestant neighbours and for Syrian society as a whole.</w:t>
      </w:r>
      <w:r w:rsidRPr="00440B9F">
        <w:rPr>
          <w:rStyle w:val="FootnoteReference"/>
          <w:rFonts w:ascii="Palatino Linotype" w:hAnsi="Palatino Linotype"/>
          <w:sz w:val="22"/>
          <w:szCs w:val="22"/>
          <w:lang w:val="en-GB"/>
        </w:rPr>
        <w:footnoteReference w:id="168"/>
      </w:r>
      <w:r w:rsidRPr="00440B9F">
        <w:rPr>
          <w:rFonts w:ascii="Palatino Linotype" w:hAnsi="Palatino Linotype"/>
          <w:sz w:val="22"/>
          <w:szCs w:val="22"/>
          <w:lang w:val="en-GB"/>
        </w:rPr>
        <w:t xml:space="preserve"> The impact of Protestant mothers on Syrian society was curtailed however by some mothers’ fears that their children’s ‘manner will be injured’ if they interacted with non-Protestant Syrians.</w:t>
      </w:r>
      <w:r w:rsidRPr="00440B9F">
        <w:rPr>
          <w:rStyle w:val="FootnoteReference"/>
          <w:rFonts w:ascii="Palatino Linotype" w:hAnsi="Palatino Linotype"/>
          <w:sz w:val="22"/>
          <w:szCs w:val="22"/>
          <w:lang w:val="en-GB"/>
        </w:rPr>
        <w:footnoteReference w:id="169"/>
      </w:r>
      <w:r w:rsidRPr="00440B9F">
        <w:rPr>
          <w:rFonts w:ascii="Palatino Linotype" w:hAnsi="Palatino Linotype"/>
          <w:sz w:val="22"/>
          <w:szCs w:val="22"/>
          <w:lang w:val="en-GB"/>
        </w:rPr>
        <w:t xml:space="preserve"> For example, Sarah Smith prohibited Rahil Ata from engaging with non-Protestants servants,</w:t>
      </w:r>
      <w:r w:rsidRPr="00440B9F">
        <w:rPr>
          <w:rStyle w:val="FootnoteReference"/>
          <w:rFonts w:ascii="Palatino Linotype" w:hAnsi="Palatino Linotype"/>
          <w:sz w:val="22"/>
          <w:szCs w:val="22"/>
          <w:lang w:val="en-GB"/>
        </w:rPr>
        <w:footnoteReference w:id="170"/>
      </w:r>
      <w:r w:rsidRPr="00440B9F">
        <w:rPr>
          <w:rFonts w:ascii="Palatino Linotype" w:hAnsi="Palatino Linotype"/>
          <w:sz w:val="22"/>
          <w:szCs w:val="22"/>
          <w:lang w:val="en-GB"/>
        </w:rPr>
        <w:t xml:space="preserve"> while Eli cautioned his wife Hetty against their children being present when women visited their house in Bhamdoun.</w:t>
      </w:r>
      <w:r w:rsidRPr="00440B9F">
        <w:rPr>
          <w:rStyle w:val="FootnoteReference"/>
          <w:rFonts w:ascii="Palatino Linotype" w:hAnsi="Palatino Linotype"/>
          <w:sz w:val="22"/>
          <w:szCs w:val="22"/>
          <w:lang w:val="en-GB"/>
        </w:rPr>
        <w:footnoteReference w:id="171"/>
      </w:r>
      <w:r w:rsidRPr="00440B9F">
        <w:rPr>
          <w:rFonts w:ascii="Palatino Linotype" w:hAnsi="Palatino Linotype"/>
          <w:sz w:val="22"/>
          <w:szCs w:val="22"/>
          <w:lang w:val="en-GB"/>
        </w:rPr>
        <w:t xml:space="preserve"> Hetty also thwarted her children from playing with non-Protestant ‘Arab children’ ‘lest [they] should hear bad language’.</w:t>
      </w:r>
      <w:r w:rsidRPr="00440B9F">
        <w:rPr>
          <w:rStyle w:val="FootnoteReference"/>
          <w:rFonts w:ascii="Palatino Linotype" w:hAnsi="Palatino Linotype"/>
          <w:sz w:val="22"/>
          <w:szCs w:val="22"/>
          <w:lang w:val="en-GB"/>
        </w:rPr>
        <w:footnoteReference w:id="172"/>
      </w:r>
      <w:r w:rsidRPr="00440B9F">
        <w:rPr>
          <w:rFonts w:ascii="Palatino Linotype" w:hAnsi="Palatino Linotype"/>
          <w:sz w:val="22"/>
          <w:szCs w:val="22"/>
          <w:lang w:val="en-GB"/>
        </w:rPr>
        <w:t xml:space="preserve"> Hetty was not simply referring to Arabic when she spoke of ‘bad language’, for the use of Arabic by Protestant children was regarded as either comical,</w:t>
      </w:r>
      <w:r w:rsidRPr="00440B9F">
        <w:rPr>
          <w:rFonts w:ascii="Palatino Linotype" w:hAnsi="Palatino Linotype"/>
          <w:sz w:val="22"/>
          <w:szCs w:val="22"/>
          <w:vertAlign w:val="superscript"/>
          <w:lang w:val="en-GB"/>
        </w:rPr>
        <w:footnoteReference w:id="173"/>
      </w:r>
      <w:r w:rsidRPr="00440B9F">
        <w:rPr>
          <w:rFonts w:ascii="Palatino Linotype" w:hAnsi="Palatino Linotype"/>
          <w:sz w:val="22"/>
          <w:szCs w:val="22"/>
          <w:lang w:val="en-GB"/>
        </w:rPr>
        <w:t xml:space="preserve"> or as a potential asset for future evangelical work amongst Arabic speaking communities.</w:t>
      </w:r>
      <w:r w:rsidRPr="00440B9F">
        <w:rPr>
          <w:rStyle w:val="FootnoteReference"/>
          <w:rFonts w:ascii="Palatino Linotype" w:hAnsi="Palatino Linotype"/>
          <w:sz w:val="22"/>
          <w:szCs w:val="22"/>
          <w:lang w:val="en-GB"/>
        </w:rPr>
        <w:footnoteReference w:id="174"/>
      </w:r>
      <w:r w:rsidRPr="00440B9F">
        <w:rPr>
          <w:rFonts w:ascii="Palatino Linotype" w:hAnsi="Palatino Linotype"/>
          <w:sz w:val="22"/>
          <w:szCs w:val="22"/>
          <w:lang w:val="en-GB"/>
        </w:rPr>
        <w:t xml:space="preserve"> Rather, ‘bad language’ pertained to blasphemy and the inappropriate use of God’s name, which the ABCFM missionaries regarded to be the ‘usual contamination of the country’.</w:t>
      </w:r>
      <w:r w:rsidRPr="00440B9F">
        <w:rPr>
          <w:rStyle w:val="FootnoteReference"/>
          <w:rFonts w:ascii="Palatino Linotype" w:hAnsi="Palatino Linotype"/>
          <w:sz w:val="22"/>
          <w:szCs w:val="22"/>
          <w:lang w:val="en-GB"/>
        </w:rPr>
        <w:footnoteReference w:id="175"/>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Although bad mothering was often associated with women who were outside of the Protestant Circle, the mothering practiced by new converts was also viewed as problematic. As noted above, providing educational and religious instructions for coverts was one way that the ABCFM and the elite Syrian Protestants sought to correct these women’s improper mothering skills. Another method of correction was to remove the child from this negative environment and ‘adopt’ them into Protestant households.</w:t>
      </w:r>
      <w:r w:rsidRPr="00440B9F">
        <w:rPr>
          <w:rStyle w:val="FootnoteReference"/>
          <w:rFonts w:ascii="Palatino Linotype" w:hAnsi="Palatino Linotype"/>
          <w:sz w:val="22"/>
          <w:szCs w:val="22"/>
          <w:lang w:val="en-GB"/>
        </w:rPr>
        <w:footnoteReference w:id="176"/>
      </w:r>
      <w:r w:rsidRPr="00440B9F">
        <w:rPr>
          <w:rFonts w:ascii="Palatino Linotype" w:hAnsi="Palatino Linotype"/>
          <w:sz w:val="22"/>
          <w:szCs w:val="22"/>
          <w:lang w:val="en-GB"/>
        </w:rPr>
        <w:t xml:space="preserve"> If a child could not be removed from his/her home, it was hoped that teaching the child Protestant morals at common and Sabbath schools would rectify the mother’s negative influence.</w:t>
      </w:r>
      <w:r w:rsidRPr="00440B9F">
        <w:rPr>
          <w:rFonts w:ascii="Palatino Linotype" w:hAnsi="Palatino Linotype"/>
          <w:sz w:val="22"/>
          <w:szCs w:val="22"/>
          <w:vertAlign w:val="superscript"/>
          <w:lang w:val="en-GB"/>
        </w:rPr>
        <w:footnoteReference w:id="177"/>
      </w:r>
      <w:r w:rsidRPr="00440B9F">
        <w:rPr>
          <w:rFonts w:ascii="Palatino Linotype" w:hAnsi="Palatino Linotype"/>
          <w:sz w:val="22"/>
          <w:szCs w:val="22"/>
          <w:lang w:val="en-GB"/>
        </w:rPr>
        <w:t xml:space="preserve"> The Protestants also argued that educating Syrian girls was a proactive means of preventing these children from following the negative example of their own mothers. This correct training would guide the moral development of Syrian girls, so that they could become models of Protestant womanhood and motherhood due to their own acquisition and performance of Protestant scientific and religious ‘truths’.</w:t>
      </w:r>
      <w:r w:rsidRPr="00440B9F">
        <w:rPr>
          <w:rStyle w:val="FootnoteReference"/>
          <w:rFonts w:ascii="Palatino Linotype" w:hAnsi="Palatino Linotype"/>
          <w:sz w:val="22"/>
          <w:szCs w:val="22"/>
          <w:lang w:val="en-GB"/>
        </w:rPr>
        <w:footnoteReference w:id="178"/>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p>
    <w:p w:rsidR="00665C5A" w:rsidRPr="00440B9F" w:rsidRDefault="00665C5A" w:rsidP="001761FF">
      <w:pPr>
        <w:pStyle w:val="BodyText"/>
        <w:spacing w:line="360" w:lineRule="auto"/>
        <w:jc w:val="center"/>
        <w:rPr>
          <w:rFonts w:ascii="MS Reference Sans Serif" w:hAnsi="MS Reference Sans Serif"/>
          <w:i/>
          <w:smallCaps/>
          <w:sz w:val="22"/>
          <w:szCs w:val="22"/>
          <w:lang w:val="en-GB"/>
        </w:rPr>
      </w:pPr>
      <w:r w:rsidRPr="00440B9F">
        <w:rPr>
          <w:rFonts w:ascii="MS Reference Sans Serif" w:hAnsi="MS Reference Sans Serif"/>
          <w:i/>
          <w:smallCaps/>
          <w:sz w:val="22"/>
          <w:szCs w:val="22"/>
          <w:lang w:val="en-GB"/>
        </w:rPr>
        <w:t>The Troubles with Baptism</w:t>
      </w:r>
    </w:p>
    <w:p w:rsidR="00665C5A" w:rsidRPr="00440B9F" w:rsidRDefault="00665C5A" w:rsidP="001761FF">
      <w:pPr>
        <w:pStyle w:val="BodyText"/>
        <w:spacing w:line="360" w:lineRule="auto"/>
        <w:rPr>
          <w:rFonts w:ascii="Palatino Linotype" w:hAnsi="Palatino Linotype"/>
          <w:smallCaps/>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Despite the efforts of the ABCFM missionaries to regulate the development of Protestantism, including the normative definitions of Protestant mothering, alternative definitions were articulated by other members of the Circle. As seen in previous chapters, these contestations, and the tensions they caused, were often minimised by the ABCFM, although incidents of disharmony can be uncovered through careful reading of the sources and by contextualising the community. This section investigates another site of discord within the Protestant community: the theology of infant mortality and the necessity for baptism. This section analyses how different members of the Protestant Circle articulated divergent views on infant mortality, which affected their definition of maternal responsibility.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theology of the ABCFM missionaries drew upon the transitions taking place in contemporary American Protestantism. Some scholars have recognised that the Calvinistic American theologians of the late eighteenth century asserted contradictory beliefs on infant election.</w:t>
      </w:r>
      <w:r w:rsidRPr="00440B9F">
        <w:rPr>
          <w:rStyle w:val="FootnoteReference"/>
          <w:rFonts w:ascii="Palatino Linotype" w:hAnsi="Palatino Linotype"/>
          <w:sz w:val="22"/>
          <w:szCs w:val="22"/>
          <w:lang w:val="en-GB"/>
        </w:rPr>
        <w:footnoteReference w:id="179"/>
      </w:r>
      <w:r w:rsidRPr="00440B9F">
        <w:rPr>
          <w:rFonts w:ascii="Palatino Linotype" w:hAnsi="Palatino Linotype"/>
          <w:sz w:val="22"/>
          <w:szCs w:val="22"/>
          <w:lang w:val="en-GB"/>
        </w:rPr>
        <w:t xml:space="preserve"> Their successors, who included the founding members of the ABCFM, maintained that salvation was achieved through the conscious recognition of one’s sinful, immortal state, followed by the individual asking for and possibly receiving a spiritual revival through the Holy Spirit.</w:t>
      </w:r>
      <w:r w:rsidRPr="00440B9F">
        <w:rPr>
          <w:rStyle w:val="FootnoteReference"/>
          <w:rFonts w:ascii="Palatino Linotype" w:hAnsi="Palatino Linotype"/>
          <w:sz w:val="22"/>
          <w:szCs w:val="22"/>
          <w:lang w:val="en-GB"/>
        </w:rPr>
        <w:footnoteReference w:id="180"/>
      </w:r>
      <w:r w:rsidRPr="00440B9F">
        <w:rPr>
          <w:rFonts w:ascii="Palatino Linotype" w:hAnsi="Palatino Linotype"/>
          <w:sz w:val="22"/>
          <w:szCs w:val="22"/>
          <w:lang w:val="en-GB"/>
        </w:rPr>
        <w:t xml:space="preserve"> Although this widened the scope of the elect, revival theology nevertheless excluded children and people who were unable to recognise their sinful immortality from the redeemed.</w:t>
      </w:r>
      <w:r w:rsidRPr="00440B9F">
        <w:rPr>
          <w:rStyle w:val="FootnoteReference"/>
          <w:rFonts w:ascii="Palatino Linotype" w:hAnsi="Palatino Linotype"/>
          <w:sz w:val="22"/>
          <w:szCs w:val="22"/>
          <w:lang w:val="en-GB"/>
        </w:rPr>
        <w:footnoteReference w:id="181"/>
      </w:r>
      <w:r w:rsidRPr="00440B9F">
        <w:rPr>
          <w:rFonts w:ascii="Palatino Linotype" w:hAnsi="Palatino Linotype"/>
          <w:sz w:val="22"/>
          <w:szCs w:val="22"/>
          <w:lang w:val="en-GB"/>
        </w:rPr>
        <w:t xml:space="preserve"> By the mid-nineteenth century however, this perspective was relaxed so that many American Protestants, including the missionaries of the ABCFM, believed that young children were excused from eternal damnation,</w:t>
      </w:r>
      <w:r w:rsidRPr="00440B9F">
        <w:rPr>
          <w:rStyle w:val="FootnoteReference"/>
          <w:rFonts w:ascii="Palatino Linotype" w:hAnsi="Palatino Linotype"/>
          <w:sz w:val="22"/>
          <w:szCs w:val="22"/>
          <w:lang w:val="en-GB"/>
        </w:rPr>
        <w:footnoteReference w:id="182"/>
      </w:r>
      <w:r w:rsidRPr="00440B9F">
        <w:rPr>
          <w:rFonts w:ascii="Palatino Linotype" w:hAnsi="Palatino Linotype"/>
          <w:sz w:val="22"/>
          <w:szCs w:val="22"/>
          <w:lang w:val="en-GB"/>
        </w:rPr>
        <w:t xml:space="preserve"> but were responsible for their own religious commitment as they matured into adulthood.</w:t>
      </w:r>
      <w:r w:rsidRPr="00440B9F">
        <w:rPr>
          <w:rStyle w:val="FootnoteReference"/>
          <w:rFonts w:ascii="Palatino Linotype" w:hAnsi="Palatino Linotype"/>
          <w:sz w:val="22"/>
          <w:szCs w:val="22"/>
          <w:lang w:val="en-GB"/>
        </w:rPr>
        <w:footnoteReference w:id="183"/>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As this theology developed, the Protestants in Syria were continuously reminded of their corporal frailty. The Protestant graveyard was located in the garden adjacent to Burj Bird: the focal point of Protestant activities in Ottoman Syria.</w:t>
      </w:r>
      <w:r w:rsidRPr="00440B9F">
        <w:rPr>
          <w:rStyle w:val="FootnoteReference"/>
          <w:rFonts w:ascii="Palatino Linotype" w:hAnsi="Palatino Linotype"/>
          <w:sz w:val="22"/>
          <w:szCs w:val="22"/>
          <w:lang w:val="en-GB"/>
        </w:rPr>
        <w:footnoteReference w:id="184"/>
      </w:r>
      <w:r w:rsidRPr="00440B9F">
        <w:rPr>
          <w:rFonts w:ascii="Palatino Linotype" w:hAnsi="Palatino Linotype"/>
          <w:sz w:val="22"/>
          <w:szCs w:val="22"/>
          <w:lang w:val="en-GB"/>
        </w:rPr>
        <w:t xml:space="preserve"> In addition to the graves for Pliny Fisk, Peter Abbot and Rebecca Hebard were headstones marking the resting places of young Protestant children.</w:t>
      </w:r>
      <w:r w:rsidRPr="00440B9F">
        <w:rPr>
          <w:rFonts w:ascii="Palatino Linotype" w:hAnsi="Palatino Linotype"/>
          <w:sz w:val="22"/>
          <w:szCs w:val="22"/>
          <w:vertAlign w:val="superscript"/>
          <w:lang w:val="en-GB"/>
        </w:rPr>
        <w:footnoteReference w:id="185"/>
      </w:r>
      <w:r w:rsidRPr="00440B9F">
        <w:rPr>
          <w:rFonts w:ascii="Palatino Linotype" w:hAnsi="Palatino Linotype"/>
          <w:sz w:val="22"/>
          <w:szCs w:val="22"/>
          <w:lang w:val="en-GB"/>
        </w:rPr>
        <w:t xml:space="preserve"> Two headstones shared the same name: Henry P. Bird. The practice of giving an infant the same name as an already deceased child has been argued to represent the parents’ acceptance of the fragility of life, which became a feature of mothering within the Protestant Circle.</w:t>
      </w:r>
      <w:r w:rsidRPr="00440B9F">
        <w:rPr>
          <w:rFonts w:ascii="Palatino Linotype" w:hAnsi="Palatino Linotype"/>
          <w:sz w:val="22"/>
          <w:szCs w:val="22"/>
          <w:vertAlign w:val="superscript"/>
          <w:lang w:val="en-GB"/>
        </w:rPr>
        <w:footnoteReference w:id="186"/>
      </w:r>
      <w:r w:rsidRPr="00440B9F">
        <w:rPr>
          <w:rFonts w:ascii="Palatino Linotype" w:hAnsi="Palatino Linotype"/>
          <w:sz w:val="22"/>
          <w:szCs w:val="22"/>
          <w:lang w:val="en-GB"/>
        </w:rPr>
        <w:t xml:space="preserve"> Martha Whiting taught the girls in her household to pray: ‘[n]ow I lay me down to sleep, I pray the Lord my soul to keep. If I should die before I wake, I pray the Lord my soul shall take.’</w:t>
      </w:r>
      <w:r w:rsidRPr="00440B9F">
        <w:rPr>
          <w:rFonts w:ascii="Palatino Linotype" w:hAnsi="Palatino Linotype"/>
          <w:sz w:val="22"/>
          <w:szCs w:val="22"/>
          <w:vertAlign w:val="superscript"/>
          <w:lang w:val="en-GB"/>
        </w:rPr>
        <w:footnoteReference w:id="187"/>
      </w:r>
      <w:r w:rsidRPr="00440B9F">
        <w:rPr>
          <w:rFonts w:ascii="Palatino Linotype" w:hAnsi="Palatino Linotype"/>
          <w:sz w:val="22"/>
          <w:szCs w:val="22"/>
          <w:lang w:val="en-GB"/>
        </w:rPr>
        <w:t xml:space="preserve"> In a similar manner, Hetty Smith warned her nieces and nephews in the United States, that from the ‘grave’ of her recently deceased son, ‘may they hear a voice saying “You too may die”, and may they live to serve that Savior who blessed little children’.</w:t>
      </w:r>
      <w:r w:rsidRPr="00440B9F">
        <w:rPr>
          <w:rFonts w:ascii="Palatino Linotype" w:hAnsi="Palatino Linotype"/>
          <w:sz w:val="22"/>
          <w:szCs w:val="22"/>
          <w:vertAlign w:val="superscript"/>
          <w:lang w:val="en-GB"/>
        </w:rPr>
        <w:footnoteReference w:id="188"/>
      </w:r>
      <w:r w:rsidRPr="00440B9F">
        <w:rPr>
          <w:rFonts w:ascii="Palatino Linotype" w:hAnsi="Palatino Linotype"/>
          <w:sz w:val="22"/>
          <w:szCs w:val="22"/>
          <w:lang w:val="en-GB"/>
        </w:rPr>
        <w:t xml:space="preserve"> Thus, Protestant mothers were not only conscious of the temporality of their children’s lives, but conveyed this view to the children under their care.</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However, the sources provide neither quantitative figures on the number of children born to Protestant women, nor of those who died. Often, the only evidence are the names found on the tombstones in the Protestant cemetery.</w:t>
      </w:r>
      <w:r w:rsidRPr="00440B9F">
        <w:rPr>
          <w:rStyle w:val="FootnoteReference"/>
          <w:rFonts w:ascii="Palatino Linotype" w:hAnsi="Palatino Linotype"/>
          <w:sz w:val="22"/>
          <w:szCs w:val="22"/>
          <w:lang w:val="en-GB"/>
        </w:rPr>
        <w:footnoteReference w:id="189"/>
      </w:r>
      <w:r w:rsidRPr="00440B9F">
        <w:rPr>
          <w:rFonts w:ascii="Palatino Linotype" w:hAnsi="Palatino Linotype"/>
          <w:sz w:val="22"/>
          <w:szCs w:val="22"/>
          <w:lang w:val="en-GB"/>
        </w:rPr>
        <w:t xml:space="preserve"> As a result, there is a relative silence surrounding children’s deaths and their parents’ reactions to their loss. For example, in 1838, William Thomson simply wrote that his wife, ‘Mrs. Thomson has not enjoyed good health since the death of our dear Adelaide. She is however better at present.’</w:t>
      </w:r>
      <w:r w:rsidRPr="00440B9F">
        <w:rPr>
          <w:rStyle w:val="FootnoteReference"/>
          <w:rFonts w:ascii="Palatino Linotype" w:hAnsi="Palatino Linotype"/>
          <w:sz w:val="22"/>
          <w:szCs w:val="22"/>
          <w:lang w:val="en-GB"/>
        </w:rPr>
        <w:footnoteReference w:id="190"/>
      </w:r>
      <w:r w:rsidRPr="00440B9F">
        <w:rPr>
          <w:rFonts w:ascii="Palatino Linotype" w:hAnsi="Palatino Linotype"/>
          <w:sz w:val="22"/>
          <w:szCs w:val="22"/>
          <w:lang w:val="en-GB"/>
        </w:rPr>
        <w:t xml:space="preserve"> The few other exceptions that do exist illuminate the complexities surrounding the Protestants’ responses to children’s deaths and their views on infant salvation.</w:t>
      </w:r>
      <w:r w:rsidRPr="00440B9F">
        <w:rPr>
          <w:rStyle w:val="FootnoteReference"/>
          <w:rFonts w:ascii="Palatino Linotype" w:hAnsi="Palatino Linotype"/>
          <w:sz w:val="22"/>
          <w:szCs w:val="22"/>
          <w:lang w:val="en-GB"/>
        </w:rPr>
        <w:footnoteReference w:id="191"/>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r w:rsidRPr="00440B9F">
        <w:rPr>
          <w:rFonts w:ascii="Palatino Linotype" w:hAnsi="Palatino Linotype"/>
          <w:sz w:val="22"/>
          <w:szCs w:val="22"/>
          <w:lang w:val="en-GB"/>
        </w:rPr>
        <w:tab/>
        <w:t>In 1834, Eliza Thomson reflected upon the state of her infant son as they suffered through war and earthquakes in Jerusalem. Eliza wrote that she was repulsed by the ‘wickedness, cruelty, and sorrow’ that surrounded them, which she contrasted to the innocence of her child. Eliza grew more and more uncomfortable with her child’s ‘smiles and caresses’ and felt ‘obliged to resign him to the care of others.’</w:t>
      </w:r>
      <w:r w:rsidRPr="00440B9F">
        <w:rPr>
          <w:rStyle w:val="FootnoteReference"/>
          <w:rFonts w:ascii="Palatino Linotype" w:hAnsi="Palatino Linotype"/>
          <w:sz w:val="22"/>
          <w:szCs w:val="22"/>
          <w:lang w:val="en-GB"/>
        </w:rPr>
        <w:footnoteReference w:id="192"/>
      </w:r>
      <w:r w:rsidRPr="00440B9F">
        <w:rPr>
          <w:rFonts w:ascii="Palatino Linotype" w:hAnsi="Palatino Linotype"/>
          <w:sz w:val="22"/>
          <w:szCs w:val="22"/>
          <w:lang w:val="en-GB"/>
        </w:rPr>
        <w:t xml:space="preserve"> While this uneasiness may reveal Eliza’s guilt at bringing her son into a dangerous situation, it is also possible this was an expression of Eliza’ insecurity regarding the child’s eternal positioning, if he were to die during this dangerous circumstance.</w:t>
      </w:r>
      <w:r w:rsidRPr="00440B9F">
        <w:rPr>
          <w:rFonts w:ascii="Palatino Linotype" w:hAnsi="Palatino Linotype"/>
          <w:sz w:val="22"/>
          <w:szCs w:val="22"/>
          <w:shd w:val="clear" w:color="auto" w:fill="FFFFFF"/>
          <w:lang w:val="en-GB"/>
        </w:rPr>
        <w:t xml:space="preserve"> </w:t>
      </w: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r w:rsidRPr="00440B9F">
        <w:rPr>
          <w:rFonts w:ascii="Palatino Linotype" w:hAnsi="Palatino Linotype"/>
          <w:sz w:val="22"/>
          <w:szCs w:val="22"/>
          <w:shd w:val="clear" w:color="auto" w:fill="FFFFFF"/>
          <w:lang w:val="en-GB"/>
        </w:rPr>
        <w:tab/>
        <w:t>Another exception was the account written by Samuel Wolcott of an abortion performed on his wife, Catherine, in 1841, which also resulted in her death, three days later.</w:t>
      </w:r>
      <w:r w:rsidRPr="00440B9F">
        <w:rPr>
          <w:rFonts w:ascii="Palatino Linotype" w:hAnsi="Palatino Linotype"/>
          <w:sz w:val="22"/>
          <w:szCs w:val="22"/>
          <w:shd w:val="clear" w:color="auto" w:fill="FFFFFF"/>
          <w:vertAlign w:val="superscript"/>
          <w:lang w:val="en-GB"/>
        </w:rPr>
        <w:footnoteReference w:id="193"/>
      </w:r>
      <w:r w:rsidRPr="00440B9F">
        <w:rPr>
          <w:rFonts w:ascii="Palatino Linotype" w:hAnsi="Palatino Linotype"/>
          <w:sz w:val="22"/>
          <w:szCs w:val="22"/>
          <w:shd w:val="clear" w:color="auto" w:fill="FFFFFF"/>
          <w:lang w:val="en-GB"/>
        </w:rPr>
        <w:t xml:space="preserve"> Samuel explained that the unborn child was too large and ‘had probably gone a full month over its time’, while the rigid, ‘small parts’ of the mother would not allow for a natural birth or for assistance with forceps.</w:t>
      </w:r>
      <w:r w:rsidRPr="00440B9F">
        <w:rPr>
          <w:rFonts w:ascii="Palatino Linotype" w:hAnsi="Palatino Linotype"/>
          <w:sz w:val="22"/>
          <w:szCs w:val="22"/>
          <w:shd w:val="clear" w:color="auto" w:fill="FFFFFF"/>
          <w:vertAlign w:val="superscript"/>
          <w:lang w:val="en-GB"/>
        </w:rPr>
        <w:footnoteReference w:id="194"/>
      </w:r>
      <w:r w:rsidRPr="00440B9F">
        <w:rPr>
          <w:rFonts w:ascii="Palatino Linotype" w:hAnsi="Palatino Linotype"/>
          <w:sz w:val="22"/>
          <w:szCs w:val="22"/>
          <w:shd w:val="clear" w:color="auto" w:fill="FFFFFF"/>
          <w:lang w:val="en-GB"/>
        </w:rPr>
        <w:t xml:space="preserve"> Similar to other death narratives, Samuel focused upon the emotional and religious state of his wife, as she struggled with this illness, but did not write about their views on the eternal state of the never-born child.</w:t>
      </w:r>
      <w:r w:rsidRPr="00440B9F">
        <w:rPr>
          <w:rStyle w:val="FootnoteReference"/>
          <w:rFonts w:ascii="Palatino Linotype" w:hAnsi="Palatino Linotype"/>
          <w:sz w:val="22"/>
          <w:szCs w:val="22"/>
          <w:shd w:val="clear" w:color="auto" w:fill="FFFFFF"/>
          <w:lang w:val="en-GB"/>
        </w:rPr>
        <w:footnoteReference w:id="195"/>
      </w:r>
      <w:r w:rsidRPr="00440B9F">
        <w:rPr>
          <w:rFonts w:ascii="Palatino Linotype" w:hAnsi="Palatino Linotype"/>
          <w:sz w:val="22"/>
          <w:szCs w:val="22"/>
          <w:shd w:val="clear" w:color="auto" w:fill="FFFFFF"/>
          <w:lang w:val="en-GB"/>
        </w:rPr>
        <w:t xml:space="preserve"> As Samuel’s two letters are the only account of these events, we do not know how Catherine perceived the abortion and its meaning for herself, as a mother, the eternal state of her never-born child, or how others in the community reacted to this unfortunate circumstance.   </w:t>
      </w: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r w:rsidRPr="00440B9F">
        <w:rPr>
          <w:rFonts w:ascii="Palatino Linotype" w:hAnsi="Palatino Linotype"/>
          <w:sz w:val="22"/>
          <w:szCs w:val="22"/>
          <w:shd w:val="clear" w:color="auto" w:fill="FFFFFF"/>
          <w:lang w:val="en-GB"/>
        </w:rPr>
        <w:tab/>
        <w:t>This silence gradually changed, so that, similar to the emergence of sentimental literature in the United States, the ABCFM missionaries increasingly lamented over their child’s death through writing about and emphasising the child’s innocence and communion with God.</w:t>
      </w:r>
      <w:r w:rsidRPr="00440B9F">
        <w:rPr>
          <w:rStyle w:val="FootnoteReference"/>
          <w:rFonts w:ascii="Palatino Linotype" w:hAnsi="Palatino Linotype"/>
          <w:sz w:val="22"/>
          <w:szCs w:val="22"/>
          <w:shd w:val="clear" w:color="auto" w:fill="FFFFFF"/>
          <w:lang w:val="en-GB"/>
        </w:rPr>
        <w:footnoteReference w:id="196"/>
      </w:r>
      <w:r w:rsidRPr="00440B9F">
        <w:rPr>
          <w:rFonts w:ascii="Palatino Linotype" w:hAnsi="Palatino Linotype"/>
          <w:sz w:val="22"/>
          <w:szCs w:val="22"/>
          <w:shd w:val="clear" w:color="auto" w:fill="FFFFFF"/>
          <w:lang w:val="en-GB"/>
        </w:rPr>
        <w:t xml:space="preserve"> Reflecting upon the death of her son Eli Whitney in 1850, Hetty Smith wrote: ‘[w]ith one gentle sigh he went to the bosom of his Saviour…Yes we have a darling child in Heaven, </w:t>
      </w:r>
      <w:r w:rsidRPr="00440B9F">
        <w:rPr>
          <w:rFonts w:ascii="Palatino Linotype" w:hAnsi="Palatino Linotype"/>
          <w:sz w:val="22"/>
          <w:szCs w:val="22"/>
          <w:u w:val="single"/>
          <w:shd w:val="clear" w:color="auto" w:fill="FFFFFF"/>
          <w:lang w:val="en-GB"/>
        </w:rPr>
        <w:t>saved from sin’</w:t>
      </w:r>
      <w:r w:rsidRPr="00440B9F">
        <w:rPr>
          <w:rFonts w:ascii="Palatino Linotype" w:hAnsi="Palatino Linotype"/>
          <w:sz w:val="22"/>
          <w:szCs w:val="22"/>
          <w:shd w:val="clear" w:color="auto" w:fill="FFFFFF"/>
          <w:lang w:val="en-GB"/>
        </w:rPr>
        <w:t>.</w:t>
      </w:r>
      <w:r w:rsidRPr="00440B9F">
        <w:rPr>
          <w:rFonts w:ascii="Palatino Linotype" w:hAnsi="Palatino Linotype"/>
          <w:sz w:val="22"/>
          <w:szCs w:val="22"/>
          <w:shd w:val="clear" w:color="auto" w:fill="FFFFFF"/>
          <w:vertAlign w:val="superscript"/>
          <w:lang w:val="en-GB"/>
        </w:rPr>
        <w:footnoteReference w:id="197"/>
      </w:r>
      <w:r w:rsidRPr="00440B9F">
        <w:rPr>
          <w:rFonts w:ascii="Palatino Linotype" w:hAnsi="Palatino Linotype"/>
          <w:sz w:val="22"/>
          <w:szCs w:val="22"/>
          <w:shd w:val="clear" w:color="auto" w:fill="FFFFFF"/>
          <w:lang w:val="en-GB"/>
        </w:rPr>
        <w:t xml:space="preserve"> Hetty sought comfort in believing ‘that His Heavenly Father has called [Eli Whitney] early to himself—It is a precious reflection that God has taken my little one to be an angel of light—his portion is only joy.’</w:t>
      </w:r>
      <w:r w:rsidRPr="00440B9F">
        <w:rPr>
          <w:rFonts w:ascii="Palatino Linotype" w:hAnsi="Palatino Linotype"/>
          <w:sz w:val="22"/>
          <w:szCs w:val="22"/>
          <w:shd w:val="clear" w:color="auto" w:fill="FFFFFF"/>
          <w:vertAlign w:val="superscript"/>
          <w:lang w:val="en-GB"/>
        </w:rPr>
        <w:footnoteReference w:id="198"/>
      </w:r>
      <w:r w:rsidRPr="00440B9F">
        <w:rPr>
          <w:rFonts w:ascii="Palatino Linotype" w:hAnsi="Palatino Linotype"/>
          <w:sz w:val="22"/>
          <w:szCs w:val="22"/>
          <w:shd w:val="clear" w:color="auto" w:fill="FFFFFF"/>
          <w:lang w:val="en-GB"/>
        </w:rPr>
        <w:t xml:space="preserve"> Some Syrian Protestants expressed similar views on infant piety. Following the death of his daughter Barbara, Antonio Yanni was said to have commented that Barbara had become ‘an angel in heaven, and the Lord took her in infinite wisdom and infinite mercy’.</w:t>
      </w:r>
      <w:r w:rsidRPr="00440B9F">
        <w:rPr>
          <w:rFonts w:ascii="Palatino Linotype" w:hAnsi="Palatino Linotype"/>
          <w:sz w:val="22"/>
          <w:szCs w:val="22"/>
          <w:shd w:val="clear" w:color="auto" w:fill="FFFFFF"/>
          <w:vertAlign w:val="superscript"/>
          <w:lang w:val="en-GB"/>
        </w:rPr>
        <w:footnoteReference w:id="199"/>
      </w:r>
      <w:r w:rsidRPr="00440B9F">
        <w:rPr>
          <w:rFonts w:ascii="Palatino Linotype" w:hAnsi="Palatino Linotype"/>
          <w:sz w:val="22"/>
          <w:szCs w:val="22"/>
          <w:shd w:val="clear" w:color="auto" w:fill="FFFFFF"/>
          <w:lang w:val="en-GB"/>
        </w:rPr>
        <w:t xml:space="preserve"> </w:t>
      </w: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r w:rsidRPr="00440B9F">
        <w:rPr>
          <w:rFonts w:ascii="Palatino Linotype" w:hAnsi="Palatino Linotype"/>
          <w:sz w:val="22"/>
          <w:szCs w:val="22"/>
          <w:shd w:val="clear" w:color="auto" w:fill="FFFFFF"/>
          <w:lang w:val="en-GB"/>
        </w:rPr>
        <w:tab/>
        <w:t>Despite this change, the ABCFM missionaries and some Syrian Protestants continued to maintain that the only secured channel for salvation was through experiencing a personal revival of the soul.</w:t>
      </w:r>
      <w:r w:rsidRPr="00440B9F">
        <w:rPr>
          <w:rFonts w:ascii="Palatino Linotype" w:hAnsi="Palatino Linotype"/>
          <w:sz w:val="22"/>
          <w:szCs w:val="22"/>
          <w:shd w:val="clear" w:color="auto" w:fill="FFFFFF"/>
          <w:vertAlign w:val="superscript"/>
          <w:lang w:val="en-GB"/>
        </w:rPr>
        <w:footnoteReference w:id="200"/>
      </w:r>
      <w:r w:rsidRPr="00440B9F">
        <w:rPr>
          <w:rFonts w:ascii="Palatino Linotype" w:hAnsi="Palatino Linotype"/>
          <w:sz w:val="22"/>
          <w:szCs w:val="22"/>
          <w:shd w:val="clear" w:color="auto" w:fill="FFFFFF"/>
          <w:lang w:val="en-GB"/>
        </w:rPr>
        <w:t xml:space="preserve"> Although the age at which a child was perceived to be accountable for his/her sins was indeterminate, proof of revival was demanded from older children. Exchanges between Eli and Hetty Smith in 1856 focused upon the moral state of the then fourteen year old Charlie. Their unease regarding his eternal fate was resolved after Charlie explained: ‘I </w:t>
      </w:r>
      <w:r w:rsidRPr="00440B9F">
        <w:rPr>
          <w:rFonts w:ascii="Palatino Linotype" w:hAnsi="Palatino Linotype"/>
          <w:sz w:val="22"/>
          <w:szCs w:val="22"/>
          <w:u w:val="single"/>
          <w:shd w:val="clear" w:color="auto" w:fill="FFFFFF"/>
          <w:lang w:val="en-GB"/>
        </w:rPr>
        <w:t>do</w:t>
      </w:r>
      <w:r w:rsidRPr="00440B9F">
        <w:rPr>
          <w:rFonts w:ascii="Palatino Linotype" w:hAnsi="Palatino Linotype"/>
          <w:sz w:val="22"/>
          <w:szCs w:val="22"/>
          <w:shd w:val="clear" w:color="auto" w:fill="FFFFFF"/>
          <w:lang w:val="en-GB"/>
        </w:rPr>
        <w:t xml:space="preserve"> hope that my heart has been renewed by the atoning blood of Jesus Christ. I feel that I can now call Him </w:t>
      </w:r>
      <w:r w:rsidRPr="00440B9F">
        <w:rPr>
          <w:rFonts w:ascii="Palatino Linotype" w:hAnsi="Palatino Linotype"/>
          <w:sz w:val="22"/>
          <w:szCs w:val="22"/>
          <w:u w:val="single"/>
          <w:shd w:val="clear" w:color="auto" w:fill="FFFFFF"/>
          <w:lang w:val="en-GB"/>
        </w:rPr>
        <w:t>my</w:t>
      </w:r>
      <w:r w:rsidRPr="00440B9F">
        <w:rPr>
          <w:rFonts w:ascii="Palatino Linotype" w:hAnsi="Palatino Linotype"/>
          <w:sz w:val="22"/>
          <w:szCs w:val="22"/>
          <w:shd w:val="clear" w:color="auto" w:fill="FFFFFF"/>
          <w:lang w:val="en-GB"/>
        </w:rPr>
        <w:t xml:space="preserve"> Savior.’</w:t>
      </w:r>
      <w:r w:rsidRPr="00440B9F">
        <w:rPr>
          <w:rFonts w:ascii="Palatino Linotype" w:hAnsi="Palatino Linotype"/>
          <w:sz w:val="22"/>
          <w:szCs w:val="22"/>
          <w:shd w:val="clear" w:color="auto" w:fill="FFFFFF"/>
          <w:vertAlign w:val="superscript"/>
          <w:lang w:val="en-GB"/>
        </w:rPr>
        <w:footnoteReference w:id="201"/>
      </w:r>
      <w:r w:rsidRPr="00440B9F">
        <w:rPr>
          <w:rFonts w:ascii="Palatino Linotype" w:hAnsi="Palatino Linotype"/>
          <w:sz w:val="22"/>
          <w:szCs w:val="22"/>
          <w:shd w:val="clear" w:color="auto" w:fill="FFFFFF"/>
          <w:lang w:val="en-GB"/>
        </w:rPr>
        <w:t xml:space="preserve"> In a similar manner, the uncertainty felt by Catherine DeForest and Martha Whiting concerning the salvation of their adopted daughters was appeased by ‘a great awakening among the young girls in some of the Mission families’ in 1847.</w:t>
      </w:r>
      <w:r w:rsidRPr="00440B9F">
        <w:rPr>
          <w:rFonts w:ascii="Palatino Linotype" w:hAnsi="Palatino Linotype"/>
          <w:sz w:val="22"/>
          <w:szCs w:val="22"/>
          <w:shd w:val="clear" w:color="auto" w:fill="FFFFFF"/>
          <w:vertAlign w:val="superscript"/>
          <w:lang w:val="en-GB"/>
        </w:rPr>
        <w:footnoteReference w:id="202"/>
      </w:r>
      <w:r w:rsidRPr="00440B9F">
        <w:rPr>
          <w:rFonts w:ascii="Palatino Linotype" w:hAnsi="Palatino Linotype"/>
          <w:sz w:val="22"/>
          <w:szCs w:val="22"/>
          <w:shd w:val="clear" w:color="auto" w:fill="FFFFFF"/>
          <w:lang w:val="en-GB"/>
        </w:rPr>
        <w:t xml:space="preserve"> Unlike missionary children however, it was only after the proclamation of revival that Syrians were recognised by the ABCFM as members of the Mission Church or the ECB, even if they had been baptised as infants into the Protestant community.</w:t>
      </w:r>
      <w:r w:rsidRPr="00440B9F">
        <w:rPr>
          <w:rStyle w:val="FootnoteReference"/>
          <w:rFonts w:ascii="Palatino Linotype" w:hAnsi="Palatino Linotype"/>
          <w:sz w:val="22"/>
          <w:szCs w:val="22"/>
          <w:shd w:val="clear" w:color="auto" w:fill="FFFFFF"/>
          <w:lang w:val="en-GB"/>
        </w:rPr>
        <w:footnoteReference w:id="203"/>
      </w:r>
      <w:r w:rsidRPr="00440B9F">
        <w:rPr>
          <w:rFonts w:ascii="Palatino Linotype" w:hAnsi="Palatino Linotype"/>
          <w:sz w:val="22"/>
          <w:szCs w:val="22"/>
          <w:shd w:val="clear" w:color="auto" w:fill="FFFFFF"/>
          <w:lang w:val="en-GB"/>
        </w:rPr>
        <w:t xml:space="preserve"> This suggests that even though the ABCFM missionaries increasingly viewed infants as in communion with God, the eschatological and ecclesiastical position of older children and adults remained conditional upon their conscious decision to uphold Protestant doctrines and norms.</w:t>
      </w: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r w:rsidRPr="00440B9F">
        <w:rPr>
          <w:rFonts w:ascii="Palatino Linotype" w:hAnsi="Palatino Linotype"/>
          <w:sz w:val="22"/>
          <w:szCs w:val="22"/>
          <w:shd w:val="clear" w:color="auto" w:fill="FFFFFF"/>
          <w:lang w:val="en-GB"/>
        </w:rPr>
        <w:tab/>
        <w:t xml:space="preserve">As a result, the ABCFM missionaries did not regard infant baptism to be necessary for individual salvation. Rather, baptisms were ceremonies where the child’s parents publicly affirmed their own Protestant faith and asserted their commitment to guide the child’s religious development. During these ceremonies, the parents (and godparents) were charged to: </w:t>
      </w:r>
    </w:p>
    <w:p w:rsidR="00665C5A" w:rsidRDefault="00665C5A" w:rsidP="001761FF">
      <w:pPr>
        <w:pStyle w:val="BodyText"/>
        <w:ind w:left="720" w:right="720"/>
        <w:jc w:val="both"/>
        <w:rPr>
          <w:rFonts w:ascii="Palatino Linotype" w:hAnsi="Palatino Linotype"/>
          <w:shd w:val="clear" w:color="auto" w:fill="FFFFFF"/>
          <w:lang w:val="en-GB"/>
        </w:rPr>
      </w:pPr>
      <w:r w:rsidRPr="00440B9F">
        <w:rPr>
          <w:rFonts w:ascii="Palatino Linotype" w:hAnsi="Palatino Linotype"/>
          <w:sz w:val="22"/>
          <w:szCs w:val="22"/>
          <w:shd w:val="clear" w:color="auto" w:fill="FFFFFF"/>
          <w:lang w:val="en-GB"/>
        </w:rPr>
        <w:t>train [the child] up in the nurture and admonition of the Lord, to teach (her) to read the Holy Scriptures, to instruct (her) in all the ordinances of the Christian religion, and to endeavour, as much as in you lies, by precept, by example and by prayer, to raise (her) to become a worthy member of the church of Christ on earth and an heir of glory in his Heavenly kingdom.</w:t>
      </w:r>
      <w:r w:rsidRPr="00440B9F">
        <w:rPr>
          <w:rFonts w:ascii="Palatino Linotype" w:hAnsi="Palatino Linotype"/>
          <w:sz w:val="22"/>
          <w:szCs w:val="22"/>
          <w:shd w:val="clear" w:color="auto" w:fill="FFFFFF"/>
          <w:vertAlign w:val="superscript"/>
          <w:lang w:val="en-GB"/>
        </w:rPr>
        <w:footnoteReference w:id="204"/>
      </w:r>
      <w:r w:rsidRPr="00440B9F">
        <w:rPr>
          <w:rFonts w:ascii="Palatino Linotype" w:hAnsi="Palatino Linotype"/>
          <w:sz w:val="22"/>
          <w:szCs w:val="22"/>
          <w:shd w:val="clear" w:color="auto" w:fill="FFFFFF"/>
          <w:lang w:val="en-GB"/>
        </w:rPr>
        <w:t xml:space="preserve"> </w:t>
      </w:r>
    </w:p>
    <w:p w:rsidR="00665C5A" w:rsidRPr="00440B9F" w:rsidRDefault="00665C5A" w:rsidP="001761FF">
      <w:pPr>
        <w:pStyle w:val="BodyText"/>
        <w:ind w:left="720" w:right="720"/>
        <w:jc w:val="both"/>
        <w:rPr>
          <w:rFonts w:ascii="Palatino Linotype" w:hAnsi="Palatino Linotype"/>
          <w:sz w:val="22"/>
          <w:szCs w:val="22"/>
          <w:shd w:val="clear" w:color="auto" w:fill="FFFFFF"/>
          <w:lang w:val="en-GB"/>
        </w:rPr>
      </w:pP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r w:rsidRPr="00440B9F">
        <w:rPr>
          <w:rFonts w:ascii="Palatino Linotype" w:hAnsi="Palatino Linotype"/>
          <w:sz w:val="22"/>
          <w:szCs w:val="22"/>
          <w:shd w:val="clear" w:color="auto" w:fill="FFFFFF"/>
          <w:lang w:val="en-GB"/>
        </w:rPr>
        <w:t>Protestant baptisms were evangelical events that marked, not the child’s position amongst the elect, but the revived commitment of his/her parents.</w:t>
      </w:r>
      <w:r w:rsidRPr="00440B9F">
        <w:rPr>
          <w:rFonts w:ascii="Palatino Linotype" w:hAnsi="Palatino Linotype"/>
          <w:sz w:val="22"/>
          <w:szCs w:val="22"/>
          <w:shd w:val="clear" w:color="auto" w:fill="FFFFFF"/>
          <w:vertAlign w:val="superscript"/>
          <w:lang w:val="en-GB"/>
        </w:rPr>
        <w:t xml:space="preserve"> </w:t>
      </w:r>
      <w:r w:rsidRPr="00440B9F">
        <w:rPr>
          <w:rFonts w:ascii="Palatino Linotype" w:hAnsi="Palatino Linotype"/>
          <w:sz w:val="22"/>
          <w:szCs w:val="22"/>
          <w:shd w:val="clear" w:color="auto" w:fill="FFFFFF"/>
          <w:vertAlign w:val="superscript"/>
          <w:lang w:val="en-GB"/>
        </w:rPr>
        <w:footnoteReference w:id="205"/>
      </w: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r w:rsidRPr="00440B9F">
        <w:rPr>
          <w:rFonts w:ascii="Palatino Linotype" w:hAnsi="Palatino Linotype"/>
          <w:sz w:val="22"/>
          <w:szCs w:val="22"/>
          <w:shd w:val="clear" w:color="auto" w:fill="FFFFFF"/>
          <w:lang w:val="en-GB"/>
        </w:rPr>
        <w:tab/>
        <w:t>These perceptions on infant salvation and baptism differed from the views promoted by the Protestants’ Syrian neighbours. Although it is difficult to isolate the theological stances of individual Syrians during this period, one source for their opinions are the theological arguments promoted by ecclesiastical leaders that were articulated in church canons. It is important to recognise that although these represent the ‘official’ theologies and guidelines to be upheld by congregants, individuals’ beliefs and practices may have varied from these doctrinal standards.</w:t>
      </w: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r w:rsidRPr="00440B9F">
        <w:rPr>
          <w:rFonts w:ascii="Palatino Linotype" w:hAnsi="Palatino Linotype"/>
          <w:sz w:val="22"/>
          <w:szCs w:val="22"/>
          <w:shd w:val="clear" w:color="auto" w:fill="FFFFFF"/>
          <w:lang w:val="en-GB"/>
        </w:rPr>
        <w:tab/>
        <w:t>Baptism was an important aspect of Christianity in Ottoman Syria, with all denominations regarding baptism as a sacrament. Contemporary historians argued that the Greek Catholic, Maronite and Armenian Churches believed that those who died unbaptised went immediately to hell.</w:t>
      </w:r>
      <w:r w:rsidRPr="00440B9F">
        <w:rPr>
          <w:rFonts w:ascii="Palatino Linotype" w:hAnsi="Palatino Linotype"/>
          <w:sz w:val="22"/>
          <w:szCs w:val="22"/>
          <w:shd w:val="clear" w:color="auto" w:fill="FFFFFF"/>
          <w:vertAlign w:val="superscript"/>
          <w:lang w:val="en-GB"/>
        </w:rPr>
        <w:footnoteReference w:id="206"/>
      </w:r>
      <w:r w:rsidRPr="00440B9F">
        <w:rPr>
          <w:rFonts w:ascii="Palatino Linotype" w:hAnsi="Palatino Linotype"/>
          <w:sz w:val="22"/>
          <w:szCs w:val="22"/>
          <w:shd w:val="clear" w:color="auto" w:fill="FFFFFF"/>
          <w:lang w:val="en-GB"/>
        </w:rPr>
        <w:t xml:space="preserve"> The Greek Orthodox Church held that baptism was ‘indispensably necessary for procuring salvation and eternal life; </w:t>
      </w:r>
      <w:r w:rsidRPr="00440B9F">
        <w:rPr>
          <w:rFonts w:ascii="Palatino Linotype" w:hAnsi="Palatino Linotype"/>
          <w:i/>
          <w:sz w:val="22"/>
          <w:szCs w:val="22"/>
          <w:shd w:val="clear" w:color="auto" w:fill="FFFFFF"/>
          <w:lang w:val="en-GB"/>
        </w:rPr>
        <w:t xml:space="preserve">for it is impossible to be saved without </w:t>
      </w:r>
      <w:r w:rsidRPr="00440B9F">
        <w:rPr>
          <w:rFonts w:ascii="Palatino Linotype" w:hAnsi="Palatino Linotype"/>
          <w:sz w:val="22"/>
          <w:szCs w:val="22"/>
          <w:shd w:val="clear" w:color="auto" w:fill="FFFFFF"/>
          <w:lang w:val="en-GB"/>
        </w:rPr>
        <w:t>[baptism]’.</w:t>
      </w:r>
      <w:r w:rsidRPr="00440B9F">
        <w:rPr>
          <w:rFonts w:ascii="Palatino Linotype" w:hAnsi="Palatino Linotype"/>
          <w:sz w:val="22"/>
          <w:szCs w:val="22"/>
          <w:shd w:val="clear" w:color="auto" w:fill="FFFFFF"/>
          <w:vertAlign w:val="superscript"/>
          <w:lang w:val="en-GB"/>
        </w:rPr>
        <w:footnoteReference w:id="207"/>
      </w:r>
      <w:r w:rsidRPr="00440B9F">
        <w:rPr>
          <w:rFonts w:ascii="Palatino Linotype" w:hAnsi="Palatino Linotype"/>
          <w:sz w:val="22"/>
          <w:szCs w:val="22"/>
          <w:shd w:val="clear" w:color="auto" w:fill="FFFFFF"/>
          <w:lang w:val="en-GB"/>
        </w:rPr>
        <w:t xml:space="preserve"> However, Greek Orthodox theology also maintained that ‘unbaptized infants and ignorant heathen’ ‘neither go to heaven nor to hell; for the holy Gospel says, “There are many mansions in my Father’s house”’.</w:t>
      </w:r>
      <w:r w:rsidRPr="00440B9F">
        <w:rPr>
          <w:rFonts w:ascii="Palatino Linotype" w:hAnsi="Palatino Linotype"/>
          <w:sz w:val="22"/>
          <w:szCs w:val="22"/>
          <w:shd w:val="clear" w:color="auto" w:fill="FFFFFF"/>
          <w:vertAlign w:val="superscript"/>
          <w:lang w:val="en-GB"/>
        </w:rPr>
        <w:footnoteReference w:id="208"/>
      </w:r>
      <w:r w:rsidRPr="00440B9F">
        <w:rPr>
          <w:rFonts w:ascii="Palatino Linotype" w:hAnsi="Palatino Linotype"/>
          <w:sz w:val="22"/>
          <w:szCs w:val="22"/>
          <w:shd w:val="clear" w:color="auto" w:fill="FFFFFF"/>
          <w:lang w:val="en-GB"/>
        </w:rPr>
        <w:t xml:space="preserve"> Nevertheless, within the Greek Orthodox Church, the sacraments of Baptism, Holy Chrism and First Communion were celebrated at the same service to ensure ‘the remission of original sin, the remission of all past actual sins, and grace to sustain the believer in his conflict with the world, the flesh, and the devil’.</w:t>
      </w:r>
      <w:r w:rsidRPr="00440B9F">
        <w:rPr>
          <w:rFonts w:ascii="Palatino Linotype" w:hAnsi="Palatino Linotype"/>
          <w:sz w:val="22"/>
          <w:szCs w:val="22"/>
          <w:shd w:val="clear" w:color="auto" w:fill="FFFFFF"/>
          <w:vertAlign w:val="superscript"/>
          <w:lang w:val="en-GB"/>
        </w:rPr>
        <w:footnoteReference w:id="209"/>
      </w:r>
      <w:r w:rsidRPr="00440B9F">
        <w:rPr>
          <w:rFonts w:ascii="Palatino Linotype" w:hAnsi="Palatino Linotype"/>
          <w:sz w:val="22"/>
          <w:szCs w:val="22"/>
          <w:shd w:val="clear" w:color="auto" w:fill="FFFFFF"/>
          <w:lang w:val="en-GB"/>
        </w:rPr>
        <w:t xml:space="preserve"> Thus, the act of baptism for most Christians in Syria was a necessary starting point for individual salvation, with many believing that forgoing or delaying this event would jeopardise the eternal standing of the child.</w:t>
      </w: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r w:rsidRPr="00440B9F">
        <w:rPr>
          <w:rFonts w:ascii="Palatino Linotype" w:hAnsi="Palatino Linotype"/>
          <w:sz w:val="22"/>
          <w:szCs w:val="22"/>
          <w:shd w:val="clear" w:color="auto" w:fill="FFFFFF"/>
          <w:lang w:val="en-GB"/>
        </w:rPr>
        <w:tab/>
        <w:t>Baptism was also necessary for it marked the child as a member of a specific church. Being a member of a particular Christian community in Syria became increasingly important during the nineteenth century, due to the reconfiguration of political and social alliances, and the intervention of European nations based upon religious affiliation. As a result, being a member of a certain church granted its members diplomatic leverage, even if the Christian was a child. This was illuminated in the dispute amongst Rahil Ata, her mother and the ABCFM missionaries, which became a diplomatic event amongst the American, Prussian, Russian and Ottoman authorities. The political significance of baptism in Ottoman Syria prompted many European residents to register their children’s baptisms with their respective consulate as to ensure that appropriate protection was available, if needed.</w:t>
      </w:r>
      <w:r w:rsidRPr="00440B9F">
        <w:rPr>
          <w:rFonts w:ascii="Palatino Linotype" w:hAnsi="Palatino Linotype"/>
          <w:sz w:val="22"/>
          <w:szCs w:val="22"/>
          <w:shd w:val="clear" w:color="auto" w:fill="FFFFFF"/>
          <w:vertAlign w:val="superscript"/>
          <w:lang w:val="en-GB"/>
        </w:rPr>
        <w:footnoteReference w:id="210"/>
      </w:r>
      <w:r w:rsidRPr="00440B9F">
        <w:rPr>
          <w:rFonts w:ascii="Palatino Linotype" w:hAnsi="Palatino Linotype"/>
          <w:sz w:val="22"/>
          <w:szCs w:val="22"/>
          <w:shd w:val="clear" w:color="auto" w:fill="FFFFFF"/>
          <w:lang w:val="en-GB"/>
        </w:rPr>
        <w:t xml:space="preserve"> Likewise, some Syrians (including non-Christian Druze) hoped that baptising their children into a particular community would make the child eligible for diplomatic protection, which could be extended to the entire family. This ‘interested’ motive was criticised by the ABCFM, who limited the number those baptised into the Protestant Church to the few who ‘had sufficient evidence of the conversion of [the] heart.’</w:t>
      </w:r>
      <w:r w:rsidRPr="00440B9F">
        <w:rPr>
          <w:rFonts w:ascii="Palatino Linotype" w:hAnsi="Palatino Linotype"/>
          <w:sz w:val="22"/>
          <w:szCs w:val="22"/>
          <w:shd w:val="clear" w:color="auto" w:fill="FFFFFF"/>
          <w:vertAlign w:val="superscript"/>
          <w:lang w:val="en-GB"/>
        </w:rPr>
        <w:footnoteReference w:id="211"/>
      </w:r>
      <w:r w:rsidRPr="00440B9F">
        <w:rPr>
          <w:rFonts w:ascii="Palatino Linotype" w:hAnsi="Palatino Linotype"/>
          <w:sz w:val="22"/>
          <w:szCs w:val="22"/>
          <w:shd w:val="clear" w:color="auto" w:fill="FFFFFF"/>
          <w:lang w:val="en-GB"/>
        </w:rPr>
        <w:t xml:space="preserve"> </w:t>
      </w: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r w:rsidRPr="00440B9F">
        <w:rPr>
          <w:rFonts w:ascii="Palatino Linotype" w:hAnsi="Palatino Linotype"/>
          <w:sz w:val="22"/>
          <w:szCs w:val="22"/>
          <w:shd w:val="clear" w:color="auto" w:fill="FFFFFF"/>
          <w:lang w:val="en-GB"/>
        </w:rPr>
        <w:tab/>
        <w:t>The Syrian members of the Protestant Circle negotiated these different views on infant salvation and baptism. Many Syrian Protestants christened their children into the Protestant Church, often during celebrations that coincided with other important events. As previously noted, Dionysus Carabet baptised a child on Christmas Day in 1827, while one of the ceremonies for the dedication of the new church in Alma included the baptism of two children.</w:t>
      </w:r>
      <w:r w:rsidRPr="00440B9F">
        <w:rPr>
          <w:rFonts w:ascii="Palatino Linotype" w:hAnsi="Palatino Linotype"/>
          <w:sz w:val="22"/>
          <w:szCs w:val="22"/>
          <w:shd w:val="clear" w:color="auto" w:fill="FFFFFF"/>
          <w:vertAlign w:val="superscript"/>
          <w:lang w:val="en-GB"/>
        </w:rPr>
        <w:footnoteReference w:id="212"/>
      </w:r>
      <w:r w:rsidRPr="00440B9F">
        <w:rPr>
          <w:rFonts w:ascii="Palatino Linotype" w:hAnsi="Palatino Linotype"/>
          <w:sz w:val="22"/>
          <w:szCs w:val="22"/>
          <w:shd w:val="clear" w:color="auto" w:fill="FFFFFF"/>
          <w:lang w:val="en-GB"/>
        </w:rPr>
        <w:t xml:space="preserve"> Although these adults did not delineate their theological justifications for baptising their children, it appears that, like the ABCFM missionaries, they perceived baptismal ceremonies to be an important occasion to display their own, adult commitment to Protestantism.</w:t>
      </w: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r w:rsidRPr="00440B9F">
        <w:rPr>
          <w:rFonts w:ascii="Palatino Linotype" w:hAnsi="Palatino Linotype"/>
          <w:sz w:val="22"/>
          <w:szCs w:val="22"/>
          <w:shd w:val="clear" w:color="auto" w:fill="FFFFFF"/>
          <w:lang w:val="en-GB"/>
        </w:rPr>
        <w:tab/>
        <w:t xml:space="preserve">Not all Syrian Protestants fully endorsed the ABCFM missionaries’ stance on baptism however. In 1845, the </w:t>
      </w:r>
      <w:r w:rsidRPr="00440B9F">
        <w:rPr>
          <w:rFonts w:ascii="Palatino Linotype" w:hAnsi="Palatino Linotype"/>
          <w:i/>
          <w:sz w:val="22"/>
          <w:szCs w:val="22"/>
          <w:shd w:val="clear" w:color="auto" w:fill="FFFFFF"/>
          <w:lang w:val="en-GB"/>
        </w:rPr>
        <w:t>Missionary Herald</w:t>
      </w:r>
      <w:r w:rsidRPr="00440B9F">
        <w:rPr>
          <w:rFonts w:ascii="Palatino Linotype" w:hAnsi="Palatino Linotype"/>
          <w:sz w:val="22"/>
          <w:szCs w:val="22"/>
          <w:shd w:val="clear" w:color="auto" w:fill="FFFFFF"/>
          <w:lang w:val="en-GB"/>
        </w:rPr>
        <w:t xml:space="preserve"> printed a story entitled ‘Stealthy Baptism’. In July of the previous year, a child was born to a woman who was ‘still inclined to adhere to the Greeks [Orthodox Church]’, but was married to a man who was ‘friends’ of the ABCFM missionaries and can be considered part of the Protestant Circle.</w:t>
      </w:r>
      <w:r w:rsidRPr="00440B9F">
        <w:rPr>
          <w:rFonts w:ascii="Palatino Linotype" w:hAnsi="Palatino Linotype"/>
          <w:sz w:val="22"/>
          <w:szCs w:val="22"/>
          <w:shd w:val="clear" w:color="auto" w:fill="FFFFFF"/>
          <w:vertAlign w:val="superscript"/>
          <w:lang w:val="en-GB"/>
        </w:rPr>
        <w:footnoteReference w:id="213"/>
      </w:r>
      <w:r w:rsidRPr="00440B9F">
        <w:rPr>
          <w:rFonts w:ascii="Palatino Linotype" w:hAnsi="Palatino Linotype"/>
          <w:sz w:val="22"/>
          <w:szCs w:val="22"/>
          <w:shd w:val="clear" w:color="auto" w:fill="FFFFFF"/>
          <w:lang w:val="en-GB"/>
        </w:rPr>
        <w:t xml:space="preserve"> During an occasion when the father was away from home, the mother called upon her female neighbours and the local priest, and ‘the child was baptized in great haste’.</w:t>
      </w:r>
      <w:r w:rsidRPr="00440B9F">
        <w:rPr>
          <w:rFonts w:ascii="Palatino Linotype" w:hAnsi="Palatino Linotype"/>
          <w:sz w:val="22"/>
          <w:szCs w:val="22"/>
          <w:shd w:val="clear" w:color="auto" w:fill="FFFFFF"/>
          <w:vertAlign w:val="superscript"/>
          <w:lang w:val="en-GB"/>
        </w:rPr>
        <w:footnoteReference w:id="214"/>
      </w:r>
      <w:r w:rsidRPr="00440B9F">
        <w:rPr>
          <w:rFonts w:ascii="Palatino Linotype" w:hAnsi="Palatino Linotype"/>
          <w:sz w:val="22"/>
          <w:szCs w:val="22"/>
          <w:shd w:val="clear" w:color="auto" w:fill="FFFFFF"/>
          <w:lang w:val="en-GB"/>
        </w:rPr>
        <w:t xml:space="preserve"> From the mother’s perspective, delaying this baptism would have unnecessarily jeopardised her child to eternal damnation and excluded the child from the security of an established religious community. In her view, she would have failed in her responsibilities as a mother if she had not baptised her child. This contrasted the opinion promoted by the ABCFM missionaries (and possibly her husband), so that the woman was presented to the readers of the </w:t>
      </w:r>
      <w:r w:rsidRPr="00440B9F">
        <w:rPr>
          <w:rFonts w:ascii="Palatino Linotype" w:hAnsi="Palatino Linotype"/>
          <w:i/>
          <w:sz w:val="22"/>
          <w:szCs w:val="22"/>
          <w:shd w:val="clear" w:color="auto" w:fill="FFFFFF"/>
          <w:lang w:val="en-GB"/>
        </w:rPr>
        <w:t>Missionary Herald</w:t>
      </w:r>
      <w:r w:rsidRPr="00440B9F">
        <w:rPr>
          <w:rFonts w:ascii="Palatino Linotype" w:hAnsi="Palatino Linotype"/>
          <w:sz w:val="22"/>
          <w:szCs w:val="22"/>
          <w:shd w:val="clear" w:color="auto" w:fill="FFFFFF"/>
          <w:lang w:val="en-GB"/>
        </w:rPr>
        <w:t xml:space="preserve"> as an improper mother, who followed ‘superstitious’, non-Protestant beliefs, despite her connection to the Protestant Circle.</w:t>
      </w:r>
      <w:r w:rsidRPr="00440B9F">
        <w:rPr>
          <w:rFonts w:ascii="Palatino Linotype" w:hAnsi="Palatino Linotype"/>
          <w:sz w:val="22"/>
          <w:szCs w:val="22"/>
          <w:shd w:val="clear" w:color="auto" w:fill="FFFFFF"/>
          <w:vertAlign w:val="superscript"/>
          <w:lang w:val="en-GB"/>
        </w:rPr>
        <w:footnoteReference w:id="215"/>
      </w:r>
      <w:r w:rsidRPr="00440B9F">
        <w:rPr>
          <w:rFonts w:ascii="Palatino Linotype" w:hAnsi="Palatino Linotype"/>
          <w:sz w:val="22"/>
          <w:szCs w:val="22"/>
          <w:shd w:val="clear" w:color="auto" w:fill="FFFFFF"/>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shd w:val="clear" w:color="auto" w:fill="FFFFFF"/>
          <w:lang w:val="en-GB"/>
        </w:rPr>
        <w:tab/>
      </w:r>
      <w:r w:rsidRPr="00440B9F">
        <w:rPr>
          <w:rFonts w:ascii="Palatino Linotype" w:hAnsi="Palatino Linotype"/>
          <w:sz w:val="22"/>
          <w:szCs w:val="22"/>
          <w:lang w:val="en-GB"/>
        </w:rPr>
        <w:t>In an effort to accommodate these different opinions, the Constitution of the ECB was intentionally vague in regards to the necessity of infant baptism for eternal salvation. It held that ‘[b]aptism shall be administered only to those who it is confidently hoped possess true faith in the Lord Jesus Christ, and their children, one at least of the parents being a believer.’</w:t>
      </w:r>
      <w:r w:rsidRPr="00440B9F">
        <w:rPr>
          <w:rFonts w:ascii="Palatino Linotype" w:hAnsi="Palatino Linotype"/>
          <w:sz w:val="22"/>
          <w:szCs w:val="22"/>
          <w:vertAlign w:val="superscript"/>
          <w:lang w:val="en-GB"/>
        </w:rPr>
        <w:footnoteReference w:id="216"/>
      </w:r>
      <w:r w:rsidRPr="00440B9F">
        <w:rPr>
          <w:rFonts w:ascii="Palatino Linotype" w:hAnsi="Palatino Linotype"/>
          <w:sz w:val="22"/>
          <w:szCs w:val="22"/>
          <w:lang w:val="en-GB"/>
        </w:rPr>
        <w:t xml:space="preserve"> Moreover, the ECB’s ‘Confession of Faith’ asked the perspective adult Protestant convert: </w:t>
      </w:r>
    </w:p>
    <w:p w:rsidR="00665C5A" w:rsidRDefault="00665C5A"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[d]o you believe that Baptism is a sacrament which signifies the purification of the heart by the work of the Holy Spirit, by means of washing in water, in the name of the Father, the Son, and the Holy Spirit; and that it is a seal of that purification and a sign of admission into the visible church?</w:t>
      </w:r>
      <w:r w:rsidRPr="00440B9F">
        <w:rPr>
          <w:rFonts w:ascii="Palatino Linotype" w:hAnsi="Palatino Linotype"/>
          <w:sz w:val="22"/>
          <w:szCs w:val="22"/>
          <w:vertAlign w:val="superscript"/>
          <w:lang w:val="en-GB"/>
        </w:rPr>
        <w:footnoteReference w:id="217"/>
      </w:r>
      <w:r w:rsidRPr="00440B9F">
        <w:rPr>
          <w:rFonts w:ascii="Palatino Linotype" w:hAnsi="Palatino Linotype"/>
          <w:sz w:val="22"/>
          <w:szCs w:val="22"/>
          <w:lang w:val="en-GB"/>
        </w:rPr>
        <w:t xml:space="preserve"> </w:t>
      </w:r>
    </w:p>
    <w:p w:rsidR="00665C5A" w:rsidRPr="00440B9F" w:rsidRDefault="00665C5A" w:rsidP="001761FF">
      <w:pPr>
        <w:pStyle w:val="BodyText"/>
        <w:ind w:left="720" w:right="720"/>
        <w:jc w:val="both"/>
        <w:rPr>
          <w:rFonts w:ascii="Palatino Linotype" w:hAnsi="Palatino Linotype"/>
          <w:sz w:val="22"/>
          <w:szCs w:val="22"/>
          <w:lang w:val="en-GB"/>
        </w:rPr>
      </w:pP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These two statements reflect the theological contractions found within the Protestant Circle. While the ABCFM missionaries and some Syrian Protestants argued that baptism symbolised a personal choice made by adults to represent their revived spirit and commitment to the Protestant Church,</w:t>
      </w:r>
      <w:r w:rsidRPr="00440B9F">
        <w:rPr>
          <w:rFonts w:ascii="Palatino Linotype" w:hAnsi="Palatino Linotype"/>
          <w:sz w:val="22"/>
          <w:szCs w:val="22"/>
          <w:vertAlign w:val="superscript"/>
          <w:lang w:val="en-GB"/>
        </w:rPr>
        <w:footnoteReference w:id="218"/>
      </w:r>
      <w:r w:rsidRPr="00440B9F">
        <w:rPr>
          <w:rFonts w:ascii="Palatino Linotype" w:hAnsi="Palatino Linotype"/>
          <w:sz w:val="22"/>
          <w:szCs w:val="22"/>
          <w:lang w:val="en-GB"/>
        </w:rPr>
        <w:t xml:space="preserve"> others contended that baptism was a sacrament that should be given to a child. Those following the latter opinion believed that, regardless of race or age, a person should be admitted to the ECB, even before they expressed an individual commitment of faith and experienced spiritual revival. Allowing these two different interpretations to be found in the ECB constitution demonstrates that, despite the ABCFM missionaries’ attempt to control the development of this community, alternative views on Protestant theology were also articulated.</w:t>
      </w:r>
      <w:r w:rsidRPr="00440B9F">
        <w:rPr>
          <w:rFonts w:ascii="Palatino Linotype" w:hAnsi="Palatino Linotype"/>
          <w:sz w:val="22"/>
          <w:szCs w:val="22"/>
          <w:vertAlign w:val="superscript"/>
          <w:lang w:val="en-GB"/>
        </w:rPr>
        <w:footnoteReference w:id="219"/>
      </w:r>
      <w:r w:rsidRPr="00440B9F">
        <w:rPr>
          <w:rFonts w:ascii="Palatino Linotype" w:hAnsi="Palatino Linotype"/>
          <w:sz w:val="22"/>
          <w:szCs w:val="22"/>
          <w:lang w:val="en-GB"/>
        </w:rPr>
        <w:t xml:space="preserve">  </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Examining the complexities surrounding Protestant baptism within this chapter is important for these different religious views affected the way that mothering was performed by women and how these activities were judged by others. Firstly, the loosening of both Calvinism and revival theology to one that emphasised the innocence of children has been associated by historians with the feminisation of Protestantism and parents’ rejection of the view that their children would not accompany them in heaven.</w:t>
      </w:r>
      <w:r w:rsidRPr="00440B9F">
        <w:rPr>
          <w:rStyle w:val="FootnoteReference"/>
          <w:rFonts w:ascii="Palatino Linotype" w:hAnsi="Palatino Linotype"/>
          <w:sz w:val="22"/>
          <w:szCs w:val="22"/>
          <w:lang w:val="en-GB"/>
        </w:rPr>
        <w:footnoteReference w:id="220"/>
      </w:r>
      <w:r w:rsidRPr="00440B9F">
        <w:rPr>
          <w:rFonts w:ascii="Palatino Linotype" w:hAnsi="Palatino Linotype"/>
          <w:sz w:val="22"/>
          <w:szCs w:val="22"/>
          <w:lang w:val="en-GB"/>
        </w:rPr>
        <w:t xml:space="preserve"> While some believed that it was through the grace of God that deceased infants went to heaven, many of the ABCFM missionaries and Syrian Protestants emphasised the role of the mother in preventing an innocent child from being corrupted by bad behaviour. This stance was particularly evident in the 1850s, when the idealised role for the mother was to act as a surrogate who carried and nurtured a child from his/her infancy into young adulthood, when the child could be reconciled with God.</w:t>
      </w:r>
    </w:p>
    <w:p w:rsidR="00665C5A" w:rsidRPr="00440B9F" w:rsidRDefault="00665C5A"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Secondly, this section illustrated another way in which the structural distribution of the Protestant Circle was actualised within their social relations: through judging women’s mothering activities. The story of the ‘Stealthy Baptism’ centred upon a mother whose theology and views on maternal responsibility were vilified by the ABCFM. This woman can be compared to the mother of Rahil Ata, the grandmother of the Gregory girls and even Susan Wortabet, whose independent pursuits of religiosity and negotiations of societal demands were condemned by the ABCFM as dangerous for their children (and Syrian Society) and were used to justify the missionaries’ intervention in order to properly nurture and educate their children or grandchildren.</w:t>
      </w:r>
      <w:r w:rsidRPr="00440B9F">
        <w:rPr>
          <w:rStyle w:val="FootnoteReference"/>
          <w:rFonts w:ascii="Palatino Linotype" w:hAnsi="Palatino Linotype"/>
          <w:sz w:val="22"/>
          <w:szCs w:val="22"/>
          <w:lang w:val="en-GB"/>
        </w:rPr>
        <w:footnoteReference w:id="221"/>
      </w:r>
      <w:r w:rsidRPr="00440B9F">
        <w:rPr>
          <w:rFonts w:ascii="Palatino Linotype" w:hAnsi="Palatino Linotype"/>
          <w:sz w:val="22"/>
          <w:szCs w:val="22"/>
          <w:lang w:val="en-GB"/>
        </w:rPr>
        <w:t xml:space="preserve"> With the exception of Susan, all of these women were positioned along the perimeter or excluded from the Protestant community, so that their non-Protestant behaviour formed an important contrast to the positive, proper mothering of women within the Circle.</w:t>
      </w: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pPr>
    </w:p>
    <w:p w:rsidR="00665C5A" w:rsidRPr="00440B9F" w:rsidRDefault="00665C5A" w:rsidP="001761FF">
      <w:pPr>
        <w:pStyle w:val="BodyText"/>
        <w:spacing w:line="360" w:lineRule="auto"/>
        <w:jc w:val="both"/>
        <w:rPr>
          <w:rFonts w:ascii="Palatino Linotype" w:hAnsi="Palatino Linotype"/>
          <w:sz w:val="22"/>
          <w:szCs w:val="22"/>
          <w:shd w:val="clear" w:color="auto" w:fill="FFFFFF"/>
          <w:lang w:val="en-GB"/>
        </w:rPr>
        <w:sectPr w:rsidR="00665C5A" w:rsidRPr="00440B9F" w:rsidSect="001761FF">
          <w:footerReference w:type="default" r:id="rId8"/>
          <w:footnotePr>
            <w:numRestart w:val="eachSect"/>
          </w:footnotePr>
          <w:pgSz w:w="12240" w:h="15840"/>
          <w:pgMar w:top="1134" w:right="1418" w:bottom="2268" w:left="2268" w:header="562" w:footer="562" w:gutter="0"/>
          <w:cols w:space="720"/>
          <w:docGrid w:linePitch="326"/>
        </w:sectPr>
      </w:pPr>
      <w:r w:rsidRPr="00440B9F">
        <w:rPr>
          <w:rFonts w:ascii="Palatino Linotype" w:hAnsi="Palatino Linotype"/>
          <w:sz w:val="22"/>
          <w:szCs w:val="22"/>
          <w:shd w:val="clear" w:color="auto" w:fill="FFFFFF"/>
          <w:lang w:val="en-GB"/>
        </w:rPr>
        <w:t xml:space="preserve">Through examining the details of Protestant mothering, this chapter demonstrated that the Protestant Circle was a complex set of social interactions, which not only created important institutions, like the ECB and boarding schools, but affected and shaped interpersonal relations amongst individuals. Protestant mothering was a socially constructed system, which, when actualised within this missionary encounter, disrupted families and provoked tensions amongst colleagues, in addition to creating loving environments where different people met and developed intimate relationships. Although the goal of Protestant mothering was to guide the development of children and reproduce the new community, the results often marginalised Syrian mothers and the knowledge they possessed. This reinforced the social stratification that defined the Protestant Circle, so that instead of reproducing the community, subversions and alternative definitions of Protestantism emerged, which challenged the central position of the ABCFM missionaries and eventually destabilised the community by 1860. </w:t>
      </w:r>
    </w:p>
    <w:p w:rsidR="000C4A7E" w:rsidRPr="004F42FD" w:rsidRDefault="000C4A7E" w:rsidP="00DC37E8">
      <w:pPr>
        <w:pStyle w:val="BodyText"/>
        <w:spacing w:line="360" w:lineRule="auto"/>
        <w:jc w:val="both"/>
        <w:rPr>
          <w:rFonts w:ascii="Palatino Linotype" w:hAnsi="Palatino Linotype"/>
          <w:sz w:val="22"/>
          <w:szCs w:val="22"/>
        </w:rPr>
      </w:pPr>
    </w:p>
    <w:sectPr w:rsidR="000C4A7E" w:rsidRPr="004F42FD" w:rsidSect="006B4C1E">
      <w:footerReference w:type="default" r:id="rId9"/>
      <w:pgSz w:w="12240" w:h="15840"/>
      <w:pgMar w:top="1134" w:right="1418" w:bottom="2268" w:left="2268" w:header="562" w:footer="562" w:gutter="0"/>
      <w:pgNumType w:start="21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F41" w:rsidRDefault="00792F41">
      <w:r>
        <w:separator/>
      </w:r>
    </w:p>
  </w:endnote>
  <w:endnote w:type="continuationSeparator" w:id="1">
    <w:p w:rsidR="00792F41" w:rsidRDefault="00792F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C5A" w:rsidRDefault="00665C5A">
    <w:pPr>
      <w:pStyle w:val="Footer"/>
      <w:jc w:val="right"/>
    </w:pPr>
    <w:fldSimple w:instr=" PAGE   \* MERGEFORMAT ">
      <w:r w:rsidR="00792F41">
        <w:rPr>
          <w:noProof/>
        </w:rPr>
        <w:t>1</w:t>
      </w:r>
    </w:fldSimple>
  </w:p>
  <w:p w:rsidR="00665C5A" w:rsidRDefault="00665C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FF1" w:rsidRDefault="00CA6879">
    <w:pPr>
      <w:pStyle w:val="Footer"/>
      <w:jc w:val="right"/>
    </w:pPr>
    <w:fldSimple w:instr=" PAGE   \* MERGEFORMAT ">
      <w:r w:rsidR="004424C2">
        <w:rPr>
          <w:noProof/>
        </w:rPr>
        <w:t>211</w:t>
      </w:r>
    </w:fldSimple>
  </w:p>
  <w:p w:rsidR="00DB2FF1" w:rsidRDefault="00DB2F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F41" w:rsidRDefault="00792F41">
      <w:r>
        <w:separator/>
      </w:r>
    </w:p>
  </w:footnote>
  <w:footnote w:type="continuationSeparator" w:id="1">
    <w:p w:rsidR="00792F41" w:rsidRDefault="00792F41">
      <w:r>
        <w:continuationSeparator/>
      </w:r>
    </w:p>
  </w:footnote>
  <w:footnote w:id="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Christine Everingham, </w:t>
      </w:r>
      <w:r w:rsidRPr="00F61EB0">
        <w:rPr>
          <w:rFonts w:ascii="Palatino Linotype" w:hAnsi="Palatino Linotype"/>
          <w:i/>
          <w:lang w:val="en-GB"/>
        </w:rPr>
        <w:t>Motherhood and Modernity: An Investigation into the Rational Dimension of Mothering</w:t>
      </w:r>
      <w:r w:rsidRPr="00F61EB0">
        <w:rPr>
          <w:rFonts w:ascii="Palatino Linotype" w:hAnsi="Palatino Linotype"/>
          <w:lang w:val="en-GB"/>
        </w:rPr>
        <w:t xml:space="preserve"> (Buckingham and Philadelphia: Open University Press, 1997): 8.</w:t>
      </w:r>
    </w:p>
  </w:footnote>
  <w:footnote w:id="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Ramusack, ‘Cultural Missionaries, Maternal Imperialists, Feminist Allies’: 119-136; Clancy-Smith, ‘Methodologies: Colonialism: 18</w:t>
      </w:r>
      <w:r w:rsidRPr="00F61EB0">
        <w:rPr>
          <w:rFonts w:ascii="Palatino Linotype" w:hAnsi="Palatino Linotype"/>
          <w:vertAlign w:val="superscript"/>
          <w:lang w:val="en-GB"/>
        </w:rPr>
        <w:t>th</w:t>
      </w:r>
      <w:r w:rsidRPr="00F61EB0">
        <w:rPr>
          <w:rFonts w:ascii="Palatino Linotype" w:hAnsi="Palatino Linotype"/>
          <w:lang w:val="en-GB"/>
        </w:rPr>
        <w:t xml:space="preserve"> to Early 20</w:t>
      </w:r>
      <w:r w:rsidRPr="00F61EB0">
        <w:rPr>
          <w:rFonts w:ascii="Palatino Linotype" w:hAnsi="Palatino Linotype"/>
          <w:vertAlign w:val="superscript"/>
          <w:lang w:val="en-GB"/>
        </w:rPr>
        <w:t>th</w:t>
      </w:r>
      <w:r w:rsidRPr="00F61EB0">
        <w:rPr>
          <w:rFonts w:ascii="Palatino Linotype" w:hAnsi="Palatino Linotype"/>
          <w:lang w:val="en-GB"/>
        </w:rPr>
        <w:t xml:space="preserve"> Century’: 102.</w:t>
      </w:r>
    </w:p>
  </w:footnote>
  <w:footnote w:id="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Nancy C. Lutkenhaus, ‘Missionary Materialism: Gendered Images of the Holy Spirit Sisters in Colonial New Guinea’, in: Huber and Lutkenhaus: </w:t>
      </w:r>
      <w:r w:rsidRPr="00F61EB0">
        <w:rPr>
          <w:rFonts w:ascii="Palatino Linotype" w:hAnsi="Palatino Linotype"/>
          <w:i/>
          <w:lang w:val="en-GB"/>
        </w:rPr>
        <w:t>GM</w:t>
      </w:r>
      <w:r w:rsidRPr="00F61EB0">
        <w:rPr>
          <w:rFonts w:ascii="Palatino Linotype" w:hAnsi="Palatino Linotype"/>
          <w:lang w:val="en-GB"/>
        </w:rPr>
        <w:t xml:space="preserve">: 207-236; Susan Thorne, ‘Missionary-Imperial Feminism’, in: Huber and Lutkenhaus: </w:t>
      </w:r>
      <w:r w:rsidRPr="00F61EB0">
        <w:rPr>
          <w:rFonts w:ascii="Palatino Linotype" w:hAnsi="Palatino Linotype"/>
          <w:i/>
          <w:lang w:val="en-GB"/>
        </w:rPr>
        <w:t>GM:</w:t>
      </w:r>
      <w:r w:rsidRPr="00F61EB0">
        <w:rPr>
          <w:rFonts w:ascii="Palatino Linotype" w:hAnsi="Palatino Linotype"/>
          <w:lang w:val="en-GB"/>
        </w:rPr>
        <w:t xml:space="preserve"> 39-66; Leslie A. Flemming, ‘A New Humanity: American Missionaries’ Ideals for Women in North India, 1870-1930’, in: N. Chaudhuri and M. Strobel, (eds.), </w:t>
      </w:r>
      <w:r w:rsidRPr="00F61EB0">
        <w:rPr>
          <w:rFonts w:ascii="Palatino Linotype" w:hAnsi="Palatino Linotype"/>
          <w:i/>
          <w:lang w:val="en-GB"/>
        </w:rPr>
        <w:t>Western Women and Imperialism: Complicity and Resistance (</w:t>
      </w:r>
      <w:r w:rsidRPr="00F61EB0">
        <w:rPr>
          <w:rFonts w:ascii="Palatino Linotype" w:hAnsi="Palatino Linotype"/>
          <w:lang w:val="en-GB"/>
        </w:rPr>
        <w:t xml:space="preserve">Bloomington and Indianapolis: Indiana University Press, 1992): 191-206. </w:t>
      </w:r>
    </w:p>
  </w:footnote>
  <w:footnote w:id="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This model was presented in chapter four. Also see Fleischmann, ‘Our Moslem Sisters’: 307-323; Murre-van den Berg, ‘Dear Mother of My Soul’: 33-48; Nancy L. Stockdale, ‘Schools of Industry and Mothers Meetings: Late Ottoman Encounters between British and Palestinian Women’, presented at: Christian Missionaries in the Middle East: Re-Thinking Colonial Encounters (Raleigh, North Carolina, 4-5 May 2007).</w:t>
      </w:r>
    </w:p>
  </w:footnote>
  <w:footnote w:id="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Compare with the definitions of mothering held by other groups in the late Ottoman Middle East as presented in Khater, </w:t>
      </w:r>
      <w:r w:rsidRPr="00F61EB0">
        <w:rPr>
          <w:rFonts w:ascii="Palatino Linotype" w:hAnsi="Palatino Linotype"/>
          <w:i/>
          <w:lang w:val="en-GB"/>
        </w:rPr>
        <w:t>Inventing Home</w:t>
      </w:r>
      <w:r w:rsidRPr="00F61EB0">
        <w:rPr>
          <w:rFonts w:ascii="Palatino Linotype" w:hAnsi="Palatino Linotype"/>
          <w:lang w:val="en-GB"/>
        </w:rPr>
        <w:t xml:space="preserve">; Elizabeth Thompson, </w:t>
      </w:r>
      <w:r w:rsidRPr="00F61EB0">
        <w:rPr>
          <w:rFonts w:ascii="Palatino Linotype" w:hAnsi="Palatino Linotype"/>
          <w:i/>
          <w:lang w:val="en-GB"/>
        </w:rPr>
        <w:t xml:space="preserve">Colonial Citizens: Republican Rights, Paternal Privilege, and Gender in French Syria and Lebanon </w:t>
      </w:r>
      <w:r w:rsidRPr="00F61EB0">
        <w:rPr>
          <w:rFonts w:ascii="Palatino Linotype" w:hAnsi="Palatino Linotype"/>
          <w:lang w:val="en-GB"/>
        </w:rPr>
        <w:t xml:space="preserve">(New York: Columbia University Press, 2000); Lisa Pollard, </w:t>
      </w:r>
      <w:r w:rsidRPr="00F61EB0">
        <w:rPr>
          <w:rFonts w:ascii="Palatino Linotype" w:hAnsi="Palatino Linotype"/>
          <w:i/>
          <w:lang w:val="en-GB"/>
        </w:rPr>
        <w:t>Nurturing the Nation: The Family Politics of Modernizing, Colonizing, and Liberating Egypt, 1805-1923</w:t>
      </w:r>
      <w:r w:rsidRPr="00F61EB0">
        <w:rPr>
          <w:rFonts w:ascii="Palatino Linotype" w:hAnsi="Palatino Linotype"/>
          <w:lang w:val="en-GB"/>
        </w:rPr>
        <w:t xml:space="preserve"> (Berkley, Los Angeles and London: University of California Press, 2005).</w:t>
      </w:r>
    </w:p>
  </w:footnote>
  <w:footnote w:id="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rPr>
        <w:footnoteRef/>
      </w:r>
      <w:r w:rsidRPr="00F61EB0">
        <w:rPr>
          <w:rFonts w:ascii="Palatino Linotype" w:hAnsi="Palatino Linotype"/>
        </w:rPr>
        <w:t xml:space="preserve"> Badr, ‘</w:t>
      </w:r>
      <w:r w:rsidRPr="00F61EB0">
        <w:rPr>
          <w:rFonts w:ascii="Palatino Linotype" w:hAnsi="Palatino Linotype"/>
          <w:lang w:val="en-GB"/>
        </w:rPr>
        <w:t xml:space="preserve">Missions to “Nominal Christians”’; Makdisi, </w:t>
      </w:r>
      <w:r w:rsidRPr="00F61EB0">
        <w:rPr>
          <w:rFonts w:ascii="Palatino Linotype" w:hAnsi="Palatino Linotype"/>
          <w:i/>
          <w:lang w:val="en-GB"/>
        </w:rPr>
        <w:t>Artillery of Heaven</w:t>
      </w:r>
      <w:r w:rsidRPr="00F61EB0">
        <w:rPr>
          <w:rFonts w:ascii="Palatino Linotype" w:hAnsi="Palatino Linotype"/>
          <w:lang w:val="en-GB"/>
        </w:rPr>
        <w:t xml:space="preserve">. One exception is Fleischmann, who investigates female educational institutions. Fleischmann, ‘Evangelization or Education’. </w:t>
      </w:r>
    </w:p>
  </w:footnote>
  <w:footnote w:id="8">
    <w:p w:rsidR="00665C5A" w:rsidRPr="00F61EB0" w:rsidRDefault="00665C5A" w:rsidP="001761FF">
      <w:pPr>
        <w:pStyle w:val="Caption"/>
        <w:spacing w:before="0" w:after="0"/>
        <w:ind w:left="90" w:hanging="90"/>
        <w:jc w:val="both"/>
        <w:rPr>
          <w:rFonts w:ascii="Palatino Linotype" w:hAnsi="Palatino Linotype"/>
          <w:sz w:val="20"/>
          <w:szCs w:val="20"/>
          <w:lang w:val="en-GB"/>
        </w:rPr>
      </w:pPr>
      <w:r w:rsidRPr="00F61EB0">
        <w:rPr>
          <w:rStyle w:val="FootnoteReference"/>
          <w:rFonts w:ascii="Palatino Linotype" w:hAnsi="Palatino Linotype"/>
          <w:i w:val="0"/>
          <w:sz w:val="20"/>
          <w:szCs w:val="20"/>
          <w:lang w:val="en-GB"/>
        </w:rPr>
        <w:footnoteRef/>
      </w:r>
      <w:r w:rsidRPr="00F61EB0">
        <w:rPr>
          <w:rFonts w:ascii="Palatino Linotype" w:hAnsi="Palatino Linotype"/>
          <w:i w:val="0"/>
          <w:sz w:val="20"/>
          <w:szCs w:val="20"/>
          <w:lang w:val="en-GB"/>
        </w:rPr>
        <w:t xml:space="preserve"> Steph Lawler, </w:t>
      </w:r>
      <w:r w:rsidRPr="00F61EB0">
        <w:rPr>
          <w:rFonts w:ascii="Palatino Linotype" w:hAnsi="Palatino Linotype"/>
          <w:sz w:val="20"/>
          <w:szCs w:val="20"/>
          <w:lang w:val="en-GB"/>
        </w:rPr>
        <w:t>Mothering the Self: Mothers, Daughters, Subjects</w:t>
      </w:r>
      <w:r w:rsidRPr="00F61EB0">
        <w:rPr>
          <w:rFonts w:ascii="Palatino Linotype" w:hAnsi="Palatino Linotype"/>
          <w:i w:val="0"/>
          <w:sz w:val="20"/>
          <w:szCs w:val="20"/>
          <w:lang w:val="en-GB"/>
        </w:rPr>
        <w:t xml:space="preserve"> (London and New York: Routledge, 2000): 4.</w:t>
      </w:r>
    </w:p>
  </w:footnote>
  <w:footnote w:id="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ABCFM, </w:t>
      </w:r>
      <w:r w:rsidRPr="00F61EB0">
        <w:rPr>
          <w:rFonts w:ascii="Palatino Linotype" w:hAnsi="Palatino Linotype"/>
          <w:i/>
          <w:lang w:val="en-GB"/>
        </w:rPr>
        <w:t>Annual Report (</w:t>
      </w:r>
      <w:r w:rsidRPr="00F61EB0">
        <w:rPr>
          <w:rFonts w:ascii="Palatino Linotype" w:hAnsi="Palatino Linotype"/>
          <w:lang w:val="en-GB"/>
        </w:rPr>
        <w:t xml:space="preserve">Beirut, 1835); Whiting, ‘Report: Native Girls Under Instruction in the Mission Families’. </w:t>
      </w:r>
    </w:p>
  </w:footnote>
  <w:footnote w:id="1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Catherine DeForest, ‘Letter to E. Smith’ (n.s., 12 December 1845): HHL: ABC 60 (17). </w:t>
      </w:r>
    </w:p>
  </w:footnote>
  <w:footnote w:id="1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Ryan, </w:t>
      </w:r>
      <w:r w:rsidRPr="00F61EB0">
        <w:rPr>
          <w:rFonts w:ascii="Palatino Linotype" w:hAnsi="Palatino Linotype"/>
          <w:i/>
          <w:lang w:val="en-GB"/>
        </w:rPr>
        <w:t>Cradle of the Middle Class</w:t>
      </w:r>
      <w:r w:rsidRPr="00F61EB0">
        <w:rPr>
          <w:rFonts w:ascii="Palatino Linotype" w:hAnsi="Palatino Linotype"/>
          <w:lang w:val="en-GB"/>
        </w:rPr>
        <w:t>: 69.</w:t>
      </w:r>
    </w:p>
  </w:footnote>
  <w:footnote w:id="1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Beecher, </w:t>
      </w:r>
      <w:r w:rsidRPr="00F61EB0">
        <w:rPr>
          <w:rFonts w:ascii="Palatino Linotype" w:hAnsi="Palatino Linotype"/>
          <w:i/>
          <w:lang w:val="en-GB"/>
        </w:rPr>
        <w:t>Treatise on Domestic Economy</w:t>
      </w:r>
      <w:r w:rsidRPr="00F61EB0">
        <w:rPr>
          <w:rFonts w:ascii="Palatino Linotype" w:hAnsi="Palatino Linotype"/>
          <w:lang w:val="en-GB"/>
        </w:rPr>
        <w:t xml:space="preserve">: 141-142; Beecher, </w:t>
      </w:r>
      <w:r w:rsidRPr="00F61EB0">
        <w:rPr>
          <w:rFonts w:ascii="Palatino Linotype" w:hAnsi="Palatino Linotype"/>
          <w:i/>
          <w:lang w:val="en-GB"/>
        </w:rPr>
        <w:t>Miss Beecher’s Domestic Receipt Book</w:t>
      </w:r>
      <w:r w:rsidRPr="00F61EB0">
        <w:rPr>
          <w:rFonts w:ascii="Palatino Linotype" w:hAnsi="Palatino Linotype"/>
          <w:lang w:val="en-GB"/>
        </w:rPr>
        <w:t>: 271; Assad Kayat, ‘Letter to Eli Smith’ (Malta, 7 March 1838): HHL: ABC 60 (46).</w:t>
      </w:r>
    </w:p>
  </w:footnote>
  <w:footnote w:id="1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See Appendix V.</w:t>
      </w:r>
    </w:p>
  </w:footnote>
  <w:footnote w:id="1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Sarah Smith, ‘Letter to Madam’ (Mohegan, [New York], 4 December 1830): YDS: ES Box 6: Folder 3.</w:t>
      </w:r>
    </w:p>
  </w:footnote>
  <w:footnote w:id="1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Henrietta Smith (‘Letter to Sister’ (n.s., 22 September [1846]): YDS: ES Box 1: Folder 15; Hooker, </w:t>
      </w:r>
      <w:r w:rsidRPr="00F61EB0">
        <w:rPr>
          <w:rFonts w:ascii="Palatino Linotype" w:hAnsi="Palatino Linotype"/>
          <w:i/>
          <w:lang w:val="en-GB"/>
        </w:rPr>
        <w:t>MSLS</w:t>
      </w:r>
      <w:r w:rsidRPr="00F61EB0">
        <w:rPr>
          <w:rFonts w:ascii="Palatino Linotype" w:hAnsi="Palatino Linotype"/>
          <w:lang w:val="en-GB"/>
        </w:rPr>
        <w:t>: 38. A similar paradox was recognised in contemporary American Evangelical literature, when pious children were regarded as closer to God than ‘learned doctors’ and Puritan theologians. Pasulka, ‘A Communion of Little Saints’: 62.</w:t>
      </w:r>
    </w:p>
  </w:footnote>
  <w:footnote w:id="1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My use of the term is neither based upon Carleton Coon’s use of ‘mosaic’ to describe Middle East society, nor the neo-liberal application for the diversity in present day nations. Although we share a reference to the artistic arrangement of tiles and glass to create an image, my use is more comparable to the mosaic images found in kaleidoscopes, for it is ever changing and evolving. Carleton Coon, </w:t>
      </w:r>
      <w:r w:rsidRPr="00F61EB0">
        <w:rPr>
          <w:rFonts w:ascii="Palatino Linotype" w:hAnsi="Palatino Linotype"/>
          <w:i/>
          <w:lang w:val="en-GB"/>
        </w:rPr>
        <w:t xml:space="preserve">Caravan: The Story of the Middle East </w:t>
      </w:r>
      <w:r w:rsidRPr="00F61EB0">
        <w:rPr>
          <w:rFonts w:ascii="Palatino Linotype" w:hAnsi="Palatino Linotype"/>
          <w:lang w:val="en-GB"/>
        </w:rPr>
        <w:t xml:space="preserve">(New York: Henry Holt, 1951); Hisham Sharabi, (ed.), </w:t>
      </w:r>
      <w:r w:rsidRPr="00F61EB0">
        <w:rPr>
          <w:rFonts w:ascii="Palatino Linotype" w:hAnsi="Palatino Linotype"/>
          <w:i/>
          <w:lang w:val="en-GB"/>
        </w:rPr>
        <w:t>Theory, Politics and the Arab World: Critical Responses</w:t>
      </w:r>
      <w:r w:rsidRPr="00F61EB0">
        <w:rPr>
          <w:rFonts w:ascii="Palatino Linotype" w:hAnsi="Palatino Linotype"/>
          <w:lang w:val="en-GB"/>
        </w:rPr>
        <w:t xml:space="preserve"> (New York and London: Routledge, 1990): 8-9; Ian Diamond, ‘Mosaic Society: Complex Changes in UK Society Bring with them Policy Challenges’, </w:t>
      </w:r>
      <w:r w:rsidRPr="00F61EB0">
        <w:rPr>
          <w:rFonts w:ascii="Palatino Linotype" w:hAnsi="Palatino Linotype"/>
          <w:i/>
          <w:lang w:val="en-GB"/>
        </w:rPr>
        <w:t xml:space="preserve">Britain Today </w:t>
      </w:r>
      <w:r w:rsidRPr="00F61EB0">
        <w:rPr>
          <w:rFonts w:ascii="Palatino Linotype" w:hAnsi="Palatino Linotype"/>
          <w:lang w:val="en-GB"/>
        </w:rPr>
        <w:t>(interviewed by Martin Ince) (2007): 91-93.</w:t>
      </w:r>
    </w:p>
  </w:footnote>
  <w:footnote w:id="1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Tomoki Okawara, ‘Household Forms and Composition: The Ottoman Empire’, in: S. Joseph, (ed.), </w:t>
      </w:r>
      <w:r w:rsidRPr="00F61EB0">
        <w:rPr>
          <w:rFonts w:ascii="Palatino Linotype" w:hAnsi="Palatino Linotype"/>
          <w:i/>
          <w:lang w:val="en-GB"/>
        </w:rPr>
        <w:t>EWIC: II:</w:t>
      </w:r>
      <w:r w:rsidRPr="00F61EB0">
        <w:rPr>
          <w:rFonts w:ascii="Palatino Linotype" w:hAnsi="Palatino Linotype"/>
          <w:lang w:val="en-GB"/>
        </w:rPr>
        <w:t xml:space="preserve"> 254-255; Meriwether, </w:t>
      </w:r>
      <w:r w:rsidRPr="00F61EB0">
        <w:rPr>
          <w:rFonts w:ascii="Palatino Linotype" w:hAnsi="Palatino Linotype"/>
          <w:i/>
          <w:lang w:val="en-GB"/>
        </w:rPr>
        <w:t>The Kin Who Count</w:t>
      </w:r>
      <w:r w:rsidRPr="00F61EB0">
        <w:rPr>
          <w:rFonts w:ascii="Palatino Linotype" w:hAnsi="Palatino Linotype"/>
          <w:lang w:val="en-GB"/>
        </w:rPr>
        <w:t>: 69-110.</w:t>
      </w:r>
    </w:p>
  </w:footnote>
  <w:footnote w:id="1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Tomoki Okawara, ‘Size and Structure of Damascus Households in the Late Ottoman Period as Compared with Istanbul Households’, in: B. Doumani, (ed.), </w:t>
      </w:r>
      <w:r w:rsidRPr="00F61EB0">
        <w:rPr>
          <w:rFonts w:ascii="Palatino Linotype" w:hAnsi="Palatino Linotype"/>
          <w:i/>
          <w:lang w:val="en-GB"/>
        </w:rPr>
        <w:t>Family History in the Middle East: Household, Property, and Gender</w:t>
      </w:r>
      <w:r w:rsidRPr="00F61EB0">
        <w:rPr>
          <w:rFonts w:ascii="Palatino Linotype" w:hAnsi="Palatino Linotype"/>
          <w:lang w:val="en-GB"/>
        </w:rPr>
        <w:t xml:space="preserve"> (Albany: State University of New York Press, 2003): 51-76; Okawara, ‘Household Forms and Composition’: 254. Meriwether argues that the terms </w:t>
      </w:r>
      <w:r w:rsidRPr="00F61EB0">
        <w:rPr>
          <w:rFonts w:ascii="Palatino Linotype" w:hAnsi="Palatino Linotype"/>
          <w:i/>
          <w:lang w:val="en-GB"/>
        </w:rPr>
        <w:t xml:space="preserve">bayt </w:t>
      </w:r>
      <w:r w:rsidRPr="00F61EB0">
        <w:rPr>
          <w:rFonts w:ascii="Palatino Linotype" w:hAnsi="Palatino Linotype"/>
          <w:lang w:val="en-GB"/>
        </w:rPr>
        <w:t xml:space="preserve"> and </w:t>
      </w:r>
      <w:r w:rsidRPr="00F61EB0">
        <w:rPr>
          <w:rFonts w:ascii="Palatino Linotype" w:hAnsi="Palatino Linotype"/>
          <w:i/>
          <w:lang w:val="en-GB"/>
        </w:rPr>
        <w:t>dar</w:t>
      </w:r>
      <w:r w:rsidRPr="00F61EB0">
        <w:rPr>
          <w:rFonts w:ascii="Palatino Linotype" w:hAnsi="Palatino Linotype"/>
          <w:lang w:val="en-GB"/>
        </w:rPr>
        <w:t xml:space="preserve"> functioned in a similar manner. Meriwether, </w:t>
      </w:r>
      <w:r w:rsidRPr="00F61EB0">
        <w:rPr>
          <w:rFonts w:ascii="Palatino Linotype" w:hAnsi="Palatino Linotype"/>
          <w:i/>
          <w:lang w:val="en-GB"/>
        </w:rPr>
        <w:t>The Kin Who Count</w:t>
      </w:r>
      <w:r w:rsidRPr="00F61EB0">
        <w:rPr>
          <w:rFonts w:ascii="Palatino Linotype" w:hAnsi="Palatino Linotype"/>
          <w:lang w:val="en-GB"/>
        </w:rPr>
        <w:t>: 17-18.</w:t>
      </w:r>
    </w:p>
  </w:footnote>
  <w:footnote w:id="1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Okawara ‘Size and Structure’: 55-76.</w:t>
      </w:r>
    </w:p>
  </w:footnote>
  <w:footnote w:id="2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Calvert, </w:t>
      </w:r>
      <w:r w:rsidRPr="00F61EB0">
        <w:rPr>
          <w:rFonts w:ascii="Palatino Linotype" w:hAnsi="Palatino Linotype"/>
          <w:i/>
          <w:lang w:val="en-GB"/>
        </w:rPr>
        <w:t>Children in the House</w:t>
      </w:r>
      <w:r w:rsidRPr="00F61EB0">
        <w:rPr>
          <w:rFonts w:ascii="Palatino Linotype" w:hAnsi="Palatino Linotype"/>
          <w:lang w:val="en-GB"/>
        </w:rPr>
        <w:t>: 21-43, 60-65; John Modell and Tamara K. Hareven, ‘Urbanization and the Malleable Household: An Examination of Boarding and Lodging in American Families’, in M. Gordon, (ed.),</w:t>
      </w:r>
      <w:r w:rsidRPr="00F61EB0">
        <w:rPr>
          <w:rFonts w:ascii="Palatino Linotype" w:hAnsi="Palatino Linotype"/>
          <w:i/>
          <w:lang w:val="en-GB"/>
        </w:rPr>
        <w:t xml:space="preserve"> The American Family in Social-Historical Perspective</w:t>
      </w:r>
      <w:r w:rsidRPr="00F61EB0">
        <w:rPr>
          <w:rFonts w:ascii="Palatino Linotype" w:hAnsi="Palatino Linotype"/>
          <w:lang w:val="en-GB"/>
        </w:rPr>
        <w:t xml:space="preserve"> (Second Edition) (New York: St. Martin’s Press, 1978): 51-68.</w:t>
      </w:r>
    </w:p>
  </w:footnote>
  <w:footnote w:id="2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The medicalisation of birthing </w:t>
      </w:r>
      <w:r>
        <w:rPr>
          <w:rFonts w:ascii="Palatino Linotype" w:hAnsi="Palatino Linotype"/>
          <w:lang w:val="en-GB"/>
        </w:rPr>
        <w:t xml:space="preserve">is </w:t>
      </w:r>
      <w:r w:rsidRPr="00F61EB0">
        <w:rPr>
          <w:rFonts w:ascii="Palatino Linotype" w:hAnsi="Palatino Linotype"/>
          <w:lang w:val="en-GB"/>
        </w:rPr>
        <w:t xml:space="preserve">linked to the regulation and co-opting of midwifery through the institutionalization of obstetric and gynaecological care. Scholten, </w:t>
      </w:r>
      <w:r w:rsidRPr="00F61EB0">
        <w:rPr>
          <w:rFonts w:ascii="Palatino Linotype" w:hAnsi="Palatino Linotype"/>
          <w:i/>
          <w:lang w:val="en-GB"/>
        </w:rPr>
        <w:t>Childbearing in American Society</w:t>
      </w:r>
      <w:r w:rsidRPr="00F61EB0">
        <w:rPr>
          <w:rFonts w:ascii="Palatino Linotype" w:hAnsi="Palatino Linotype"/>
          <w:lang w:val="en-GB"/>
        </w:rPr>
        <w:t xml:space="preserve">: 99-107; Ahmed, </w:t>
      </w:r>
      <w:r w:rsidRPr="00F61EB0">
        <w:rPr>
          <w:rFonts w:ascii="Palatino Linotype" w:hAnsi="Palatino Linotype"/>
          <w:i/>
          <w:lang w:val="en-GB"/>
        </w:rPr>
        <w:t>Women and Gender in Islam</w:t>
      </w:r>
      <w:r w:rsidRPr="00F61EB0">
        <w:rPr>
          <w:rFonts w:ascii="Palatino Linotype" w:hAnsi="Palatino Linotype"/>
          <w:lang w:val="en-GB"/>
        </w:rPr>
        <w:t xml:space="preserve">: 133-135; Khaled Fahmy, ‘Women, Medicine, and Power in Nineteenth-Century Egypt,’ in: L. Abu-Lughod, (ed.), </w:t>
      </w:r>
      <w:r w:rsidRPr="00F61EB0">
        <w:rPr>
          <w:rFonts w:ascii="Palatino Linotype" w:hAnsi="Palatino Linotype"/>
          <w:i/>
          <w:lang w:val="en-GB"/>
        </w:rPr>
        <w:t>Remaking Women: Feminism and Modernity in the Middle East</w:t>
      </w:r>
      <w:r w:rsidRPr="00F61EB0">
        <w:rPr>
          <w:rFonts w:ascii="Palatino Linotype" w:hAnsi="Palatino Linotype"/>
          <w:lang w:val="en-GB"/>
        </w:rPr>
        <w:t xml:space="preserve"> (Princeton, New Jersey: Princeton University Press, 1998): 37-63.</w:t>
      </w:r>
    </w:p>
  </w:footnote>
  <w:footnote w:id="2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This average is consistent, if not slightly less, than the average number of children born to women in contemporary America. McDannell, </w:t>
      </w:r>
      <w:r w:rsidRPr="00F61EB0">
        <w:rPr>
          <w:rFonts w:ascii="Palatino Linotype" w:hAnsi="Palatino Linotype"/>
          <w:i/>
          <w:lang w:val="en-GB"/>
        </w:rPr>
        <w:t>The Christian Home in Victorian America</w:t>
      </w:r>
      <w:r w:rsidRPr="00F61EB0">
        <w:rPr>
          <w:rFonts w:ascii="Palatino Linotype" w:hAnsi="Palatino Linotype"/>
          <w:lang w:val="en-GB"/>
        </w:rPr>
        <w:t xml:space="preserve">: 8. Although the ABCFM missionaries were highly literate in the Bible, it does not appear that they upheld the </w:t>
      </w:r>
      <w:r>
        <w:rPr>
          <w:rFonts w:ascii="Palatino Linotype" w:hAnsi="Palatino Linotype"/>
          <w:lang w:val="en-GB"/>
        </w:rPr>
        <w:t>directive</w:t>
      </w:r>
      <w:r w:rsidRPr="00F61EB0">
        <w:rPr>
          <w:rFonts w:ascii="Palatino Linotype" w:hAnsi="Palatino Linotype"/>
          <w:lang w:val="en-GB"/>
        </w:rPr>
        <w:t xml:space="preserve"> in Genesis 1:28 to ‘Be fruitful and multiply’. While some women gave birth to a number of children, many of the prominent missionaries, like Sarah Smith, Martha Whiting and Catherine DeForest, had no biological children. </w:t>
      </w:r>
      <w:r>
        <w:rPr>
          <w:rFonts w:ascii="Palatino Linotype" w:hAnsi="Palatino Linotype"/>
          <w:lang w:val="en-GB"/>
        </w:rPr>
        <w:t xml:space="preserve">Despite finding </w:t>
      </w:r>
      <w:r w:rsidRPr="00F61EB0">
        <w:rPr>
          <w:rFonts w:ascii="Palatino Linotype" w:hAnsi="Palatino Linotype"/>
          <w:lang w:val="en-GB"/>
        </w:rPr>
        <w:t xml:space="preserve">no evidence of the missionaries practicing birth control, of any form, it has been argued that their contemporaries in the United States were consciously controlling their fertility. Michael R. Haines and Avery M. Guest, ‘Fertility in New York State in the Pre-Civil War Era’, </w:t>
      </w:r>
      <w:r w:rsidRPr="00F61EB0">
        <w:rPr>
          <w:rFonts w:ascii="Palatino Linotype" w:hAnsi="Palatino Linotype"/>
          <w:i/>
          <w:lang w:val="en-GB"/>
        </w:rPr>
        <w:t>Demography</w:t>
      </w:r>
      <w:r w:rsidRPr="00F61EB0">
        <w:rPr>
          <w:rFonts w:ascii="Palatino Linotype" w:hAnsi="Palatino Linotype"/>
          <w:lang w:val="en-GB"/>
        </w:rPr>
        <w:t xml:space="preserve">, 45:2 (2008): 345-361.  </w:t>
      </w:r>
    </w:p>
  </w:footnote>
  <w:footnote w:id="2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Meriwether, </w:t>
      </w:r>
      <w:r w:rsidRPr="00F61EB0">
        <w:rPr>
          <w:rFonts w:ascii="Palatino Linotype" w:hAnsi="Palatino Linotype"/>
          <w:i/>
          <w:lang w:val="en-GB"/>
        </w:rPr>
        <w:t>The Kin Who Count</w:t>
      </w:r>
      <w:r w:rsidRPr="00F61EB0">
        <w:rPr>
          <w:rFonts w:ascii="Palatino Linotype" w:hAnsi="Palatino Linotype"/>
          <w:lang w:val="en-GB"/>
        </w:rPr>
        <w:t>: 79-81.Due to limited data, the number of ch</w:t>
      </w:r>
      <w:r>
        <w:rPr>
          <w:rFonts w:ascii="Palatino Linotype" w:hAnsi="Palatino Linotype"/>
          <w:lang w:val="en-GB"/>
        </w:rPr>
        <w:t>ildren born to Syrian woman</w:t>
      </w:r>
      <w:r w:rsidRPr="00F61EB0">
        <w:rPr>
          <w:rFonts w:ascii="Palatino Linotype" w:hAnsi="Palatino Linotype"/>
          <w:lang w:val="en-GB"/>
        </w:rPr>
        <w:t xml:space="preserve"> who did not survive, can not be accurately hypothesised. </w:t>
      </w:r>
    </w:p>
  </w:footnote>
  <w:footnote w:id="2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Henrietta Smith, ‘Letter to Sisters’ (Beirut, 18 April 1850): YDS: ES Box 1: Folder 20; Al-Bustani, ‘Letter to Hetty Smith’ (n.s., 8 June n.d.).</w:t>
      </w:r>
    </w:p>
  </w:footnote>
  <w:footnote w:id="2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Al-Bustani, ‘Letter to Hetty Smith’ (n.s., 8 June n.d).</w:t>
      </w:r>
    </w:p>
  </w:footnote>
  <w:footnote w:id="2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(1842): 423.</w:t>
      </w:r>
    </w:p>
  </w:footnote>
  <w:footnote w:id="27">
    <w:p w:rsidR="00665C5A" w:rsidRPr="00F61EB0" w:rsidRDefault="00665C5A" w:rsidP="001761FF">
      <w:pPr>
        <w:pStyle w:val="FootnoteText"/>
        <w:ind w:left="90" w:hanging="90"/>
        <w:jc w:val="both"/>
        <w:rPr>
          <w:rFonts w:ascii="Palatino Linotype" w:hAnsi="Palatino Linotype"/>
          <w:b/>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Protestant mothers </w:t>
      </w:r>
      <w:r>
        <w:rPr>
          <w:rFonts w:ascii="Palatino Linotype" w:hAnsi="Palatino Linotype"/>
          <w:lang w:val="en-GB"/>
        </w:rPr>
        <w:t xml:space="preserve">suckled their own children and only employed wet nurses if the mother died during childbirth or was unable to nurse. </w:t>
      </w:r>
      <w:r w:rsidRPr="00F61EB0">
        <w:rPr>
          <w:rFonts w:ascii="Palatino Linotype" w:hAnsi="Palatino Linotype"/>
          <w:lang w:val="en-GB"/>
        </w:rPr>
        <w:t xml:space="preserve">I was unable to determine the reason for this from the sources, but it may relate to the Protestants’ fear of the contamination and the increased emphasis on a mother’s bond with her own children. Smith, ‘Letter to Sister’ (Beirut, 15 March 1847); </w:t>
      </w:r>
      <w:r w:rsidRPr="00F61EB0">
        <w:rPr>
          <w:rFonts w:ascii="Palatino Linotype" w:hAnsi="Palatino Linotype"/>
          <w:i/>
          <w:lang w:val="en-GB"/>
        </w:rPr>
        <w:t>MH</w:t>
      </w:r>
      <w:r w:rsidRPr="00F61EB0">
        <w:rPr>
          <w:rFonts w:ascii="Palatino Linotype" w:hAnsi="Palatino Linotype"/>
          <w:lang w:val="en-GB"/>
        </w:rPr>
        <w:t xml:space="preserve"> (1835): 47. A similar discourse emerged in late nineteenth century Arab literature. See Omnia L. Shakry, ‘Schooled Mothers and Structured Play: Child Rearing in Turn-of-the-Century Egypt’, in: L. Abu-Lughod, (ed.), </w:t>
      </w:r>
      <w:r w:rsidRPr="00F61EB0">
        <w:rPr>
          <w:rFonts w:ascii="Palatino Linotype" w:hAnsi="Palatino Linotype"/>
          <w:i/>
          <w:lang w:val="en-GB"/>
        </w:rPr>
        <w:t>Remaking Women: Feminism and Modernity in the Middle East</w:t>
      </w:r>
      <w:r w:rsidRPr="00F61EB0">
        <w:rPr>
          <w:rFonts w:ascii="Palatino Linotype" w:hAnsi="Palatino Linotype"/>
          <w:lang w:val="en-GB"/>
        </w:rPr>
        <w:t xml:space="preserve"> (Princeton, New Jersey: Princeton University Press, 1998): 135-139. This is a noticeably contrast to the communal breastfeeding that Khater argues took place on Mount Lebanon during the late nineteenth century. Khater, </w:t>
      </w:r>
      <w:r w:rsidRPr="00F61EB0">
        <w:rPr>
          <w:rFonts w:ascii="Palatino Linotype" w:hAnsi="Palatino Linotype"/>
          <w:i/>
          <w:lang w:val="en-GB"/>
        </w:rPr>
        <w:t xml:space="preserve">Inventing Home: </w:t>
      </w:r>
      <w:r w:rsidRPr="00F61EB0">
        <w:rPr>
          <w:rFonts w:ascii="Palatino Linotype" w:hAnsi="Palatino Linotype"/>
          <w:lang w:val="en-GB"/>
        </w:rPr>
        <w:t>223 note 70.</w:t>
      </w:r>
      <w:r w:rsidRPr="00F61EB0">
        <w:rPr>
          <w:rFonts w:ascii="Palatino Linotype" w:hAnsi="Palatino Linotype"/>
          <w:i/>
          <w:lang w:val="en-GB"/>
        </w:rPr>
        <w:t xml:space="preserve"> </w:t>
      </w:r>
      <w:r w:rsidRPr="00F61EB0">
        <w:rPr>
          <w:rFonts w:ascii="Palatino Linotype" w:hAnsi="Palatino Linotype"/>
          <w:lang w:val="en-GB"/>
        </w:rPr>
        <w:t xml:space="preserve">For an overview on breast feeding in Islam see Ingrid Mattson, ‘Adoption and Fostering: Overview’, in: S. Joseph, (ed.), </w:t>
      </w:r>
      <w:r w:rsidRPr="00F61EB0">
        <w:rPr>
          <w:rFonts w:ascii="Palatino Linotype" w:hAnsi="Palatino Linotype"/>
          <w:i/>
          <w:lang w:val="en-GB"/>
        </w:rPr>
        <w:t>EWIC: II:</w:t>
      </w:r>
      <w:r w:rsidRPr="00F61EB0">
        <w:rPr>
          <w:rFonts w:ascii="Palatino Linotype" w:hAnsi="Palatino Linotype"/>
          <w:lang w:val="en-GB"/>
        </w:rPr>
        <w:t xml:space="preserve"> 2.</w:t>
      </w:r>
    </w:p>
  </w:footnote>
  <w:footnote w:id="2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Henrietta Smith, ‘Letter to Mother’ (Bhamdoun, 27 October 1848): YDS: ES Box 1: Folder 18; Smith, ‘Letter to Brother’ (Beirut, 27 November [1848]).</w:t>
      </w:r>
    </w:p>
  </w:footnote>
  <w:footnote w:id="2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Scholten, </w:t>
      </w:r>
      <w:r w:rsidRPr="00F61EB0">
        <w:rPr>
          <w:rFonts w:ascii="Palatino Linotype" w:hAnsi="Palatino Linotype"/>
          <w:i/>
          <w:lang w:val="en-GB"/>
        </w:rPr>
        <w:t>Childbearing in American Society</w:t>
      </w:r>
      <w:r w:rsidRPr="00F61EB0">
        <w:rPr>
          <w:rFonts w:ascii="Palatino Linotype" w:hAnsi="Palatino Linotype"/>
          <w:lang w:val="en-GB"/>
        </w:rPr>
        <w:t>:</w:t>
      </w:r>
      <w:r w:rsidRPr="00F61EB0">
        <w:rPr>
          <w:rFonts w:ascii="Palatino Linotype" w:hAnsi="Palatino Linotype"/>
          <w:i/>
          <w:lang w:val="en-GB"/>
        </w:rPr>
        <w:t xml:space="preserve"> </w:t>
      </w:r>
      <w:r w:rsidRPr="00F61EB0">
        <w:rPr>
          <w:rFonts w:ascii="Palatino Linotype" w:hAnsi="Palatino Linotype"/>
          <w:lang w:val="en-GB"/>
        </w:rPr>
        <w:t>67-97.</w:t>
      </w:r>
    </w:p>
  </w:footnote>
  <w:footnote w:id="3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(1836): 93.</w:t>
      </w:r>
    </w:p>
  </w:footnote>
  <w:footnote w:id="3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Bird, ‘Letter to Sir: Private’ (Smyrna, 4 December 1835).</w:t>
      </w:r>
    </w:p>
  </w:footnote>
  <w:footnote w:id="3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Emphasis added. Eli Smith and William Thomson, ‘Letter to Rev. R. Anderson’ (Beirut, 2 September 1835): ABCFM microfilm Unit 5: Near East: Reel 537: 90.</w:t>
      </w:r>
    </w:p>
  </w:footnote>
  <w:footnote w:id="3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Ryan, </w:t>
      </w:r>
      <w:r w:rsidRPr="00F61EB0">
        <w:rPr>
          <w:rFonts w:ascii="Palatino Linotype" w:hAnsi="Palatino Linotype"/>
          <w:i/>
          <w:lang w:val="en-GB"/>
        </w:rPr>
        <w:t>Cradle of the Middle Class</w:t>
      </w:r>
      <w:r w:rsidRPr="00F61EB0">
        <w:rPr>
          <w:rFonts w:ascii="Palatino Linotype" w:hAnsi="Palatino Linotype"/>
          <w:lang w:val="en-GB"/>
        </w:rPr>
        <w:t>: 101; Scholten</w:t>
      </w:r>
      <w:r w:rsidRPr="00F61EB0">
        <w:rPr>
          <w:rFonts w:ascii="Palatino Linotype" w:hAnsi="Palatino Linotype"/>
          <w:i/>
          <w:lang w:val="en-GB"/>
        </w:rPr>
        <w:t xml:space="preserve"> Childbearing in American Society</w:t>
      </w:r>
      <w:r w:rsidRPr="00F61EB0">
        <w:rPr>
          <w:rFonts w:ascii="Palatino Linotype" w:hAnsi="Palatino Linotype"/>
          <w:lang w:val="en-GB"/>
        </w:rPr>
        <w:t>: 80-82; Al-Bustani, ‘Letter to Eli Smith’ (n.s., n.d.).</w:t>
      </w:r>
    </w:p>
  </w:footnote>
  <w:footnote w:id="3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Ryan, </w:t>
      </w:r>
      <w:r w:rsidRPr="00F61EB0">
        <w:rPr>
          <w:rFonts w:ascii="Palatino Linotype" w:hAnsi="Palatino Linotype"/>
          <w:i/>
          <w:lang w:val="en-GB"/>
        </w:rPr>
        <w:t>Cradle of the Middle Class:</w:t>
      </w:r>
      <w:r w:rsidRPr="00F61EB0">
        <w:rPr>
          <w:rFonts w:ascii="Palatino Linotype" w:hAnsi="Palatino Linotype"/>
          <w:lang w:val="en-GB"/>
        </w:rPr>
        <w:t xml:space="preserve"> 147; Khater, </w:t>
      </w:r>
      <w:r w:rsidRPr="00F61EB0">
        <w:rPr>
          <w:rFonts w:ascii="Palatino Linotype" w:hAnsi="Palatino Linotype"/>
          <w:i/>
          <w:lang w:val="en-GB"/>
        </w:rPr>
        <w:t>Inventing Home</w:t>
      </w:r>
      <w:r w:rsidRPr="00F61EB0">
        <w:rPr>
          <w:rFonts w:ascii="Palatino Linotype" w:hAnsi="Palatino Linotype"/>
          <w:lang w:val="en-GB"/>
        </w:rPr>
        <w:t>: 32-70.</w:t>
      </w:r>
    </w:p>
  </w:footnote>
  <w:footnote w:id="3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Hooker, </w:t>
      </w:r>
      <w:r w:rsidRPr="00F61EB0">
        <w:rPr>
          <w:rFonts w:ascii="Palatino Linotype" w:hAnsi="Palatino Linotype"/>
          <w:i/>
          <w:lang w:val="en-GB"/>
        </w:rPr>
        <w:t>MSLS</w:t>
      </w:r>
      <w:r w:rsidRPr="00F61EB0">
        <w:rPr>
          <w:rFonts w:ascii="Palatino Linotype" w:hAnsi="Palatino Linotype"/>
          <w:lang w:val="en-GB"/>
        </w:rPr>
        <w:t>: 181.</w:t>
      </w:r>
    </w:p>
  </w:footnote>
  <w:footnote w:id="36">
    <w:p w:rsidR="00665C5A" w:rsidRPr="00F61EB0" w:rsidRDefault="00665C5A" w:rsidP="001761FF">
      <w:pPr>
        <w:pStyle w:val="FootnoteText"/>
        <w:ind w:left="90" w:hanging="90"/>
        <w:jc w:val="both"/>
        <w:rPr>
          <w:rFonts w:ascii="Palatino Linotype" w:hAnsi="Palatino Linotype"/>
          <w:highlight w:val="yellow"/>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Hetty wrote that she, not her children, occasionally joined Eli for lunch at the Mission House. Henrietta Smith, ‘In Memoriam of my Husband’ (n.s., n.d.): YDS: ES Box 2: Folder 15.</w:t>
      </w:r>
    </w:p>
  </w:footnote>
  <w:footnote w:id="3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Emphasis added. </w:t>
      </w:r>
      <w:r w:rsidRPr="00F61EB0">
        <w:rPr>
          <w:rFonts w:ascii="Palatino Linotype" w:hAnsi="Palatino Linotype"/>
          <w:i/>
          <w:lang w:val="en-GB"/>
        </w:rPr>
        <w:t>MSM</w:t>
      </w:r>
      <w:r w:rsidRPr="00F61EB0">
        <w:rPr>
          <w:rFonts w:ascii="Palatino Linotype" w:hAnsi="Palatino Linotype"/>
          <w:lang w:val="en-GB"/>
        </w:rPr>
        <w:t>: 17-18.</w:t>
      </w:r>
    </w:p>
  </w:footnote>
  <w:footnote w:id="3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Emphasis added. </w:t>
      </w:r>
      <w:r w:rsidRPr="00F61EB0">
        <w:rPr>
          <w:rFonts w:ascii="Palatino Linotype" w:hAnsi="Palatino Linotype"/>
          <w:i/>
          <w:lang w:val="en-GB"/>
        </w:rPr>
        <w:t>MH</w:t>
      </w:r>
      <w:r w:rsidRPr="00F61EB0">
        <w:rPr>
          <w:rFonts w:ascii="Palatino Linotype" w:hAnsi="Palatino Linotype"/>
          <w:lang w:val="en-GB"/>
        </w:rPr>
        <w:t xml:space="preserve"> (1835): 49.</w:t>
      </w:r>
    </w:p>
  </w:footnote>
  <w:footnote w:id="3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Matilda Whiting’ (Beirut, 4 June 1835).</w:t>
      </w:r>
    </w:p>
  </w:footnote>
  <w:footnote w:id="4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rPr>
        <w:footnoteRef/>
      </w:r>
      <w:r w:rsidRPr="00F61EB0">
        <w:rPr>
          <w:rFonts w:ascii="Palatino Linotype" w:hAnsi="Palatino Linotype"/>
        </w:rPr>
        <w:t xml:space="preserve"> A similar analysis is presented in </w:t>
      </w:r>
      <w:r w:rsidRPr="00F61EB0">
        <w:rPr>
          <w:rFonts w:ascii="Palatino Linotype" w:hAnsi="Palatino Linotype"/>
          <w:lang w:val="en-GB"/>
        </w:rPr>
        <w:t>Sylvia D. Hoffert, ‘</w:t>
      </w:r>
      <w:r w:rsidRPr="00F61EB0">
        <w:rPr>
          <w:rFonts w:ascii="Palatino Linotype" w:hAnsi="Palatino Linotype"/>
        </w:rPr>
        <w:t xml:space="preserve">“A Very Peculiar Sorrow”: Attitudes Toward Infant Death in the Urban Northeast, 1800-1860’, </w:t>
      </w:r>
      <w:r w:rsidRPr="00F61EB0">
        <w:rPr>
          <w:rFonts w:ascii="Palatino Linotype" w:hAnsi="Palatino Linotype"/>
          <w:i/>
        </w:rPr>
        <w:t>American Quarterly</w:t>
      </w:r>
      <w:r w:rsidRPr="00F61EB0">
        <w:rPr>
          <w:rFonts w:ascii="Palatino Linotype" w:hAnsi="Palatino Linotype"/>
        </w:rPr>
        <w:t xml:space="preserve"> 39:4 (1987): </w:t>
      </w:r>
      <w:r w:rsidRPr="00F61EB0">
        <w:rPr>
          <w:rFonts w:ascii="Palatino Linotype" w:hAnsi="Palatino Linotype"/>
          <w:lang w:val="en-GB"/>
        </w:rPr>
        <w:t>609.</w:t>
      </w:r>
    </w:p>
  </w:footnote>
  <w:footnote w:id="4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Parents’ (Beirut, 30 May 1842).</w:t>
      </w:r>
    </w:p>
  </w:footnote>
  <w:footnote w:id="4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Henrietta Smith, ‘Letter to Sisters’ (Beirut, 16 May 1850): YDS: ES Box 1: Folder 20; Smith, ‘Fragment Letter’ (n.s. [late] 1850).</w:t>
      </w:r>
    </w:p>
  </w:footnote>
  <w:footnote w:id="4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Henrietta Smith, ‘Letter to Mother’ (n.s., 30 September 1852): HHL: ABC 60 (107). It appears that Charlie Smith and Sarah Al-Bustani were also playmates. Catherine DeForest, ‘Letter to Eli Smith’ (n.s., July 1845): HHL: ABC 60 (17). </w:t>
      </w:r>
    </w:p>
  </w:footnote>
  <w:footnote w:id="4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 xml:space="preserve">MH </w:t>
      </w:r>
      <w:r w:rsidRPr="00F61EB0">
        <w:rPr>
          <w:rFonts w:ascii="Palatino Linotype" w:hAnsi="Palatino Linotype"/>
          <w:lang w:val="en-GB"/>
        </w:rPr>
        <w:t>(1834): 127.</w:t>
      </w:r>
    </w:p>
  </w:footnote>
  <w:footnote w:id="45">
    <w:p w:rsidR="00665C5A" w:rsidRPr="00F61EB0" w:rsidRDefault="00665C5A" w:rsidP="001761FF">
      <w:pPr>
        <w:pStyle w:val="BodyText"/>
        <w:ind w:left="90" w:hanging="90"/>
        <w:jc w:val="both"/>
        <w:rPr>
          <w:rFonts w:ascii="Palatino Linotype" w:hAnsi="Palatino Linotype"/>
          <w:sz w:val="20"/>
          <w:szCs w:val="20"/>
          <w:lang w:val="en-GB"/>
        </w:rPr>
      </w:pPr>
      <w:r w:rsidRPr="00F61EB0">
        <w:rPr>
          <w:rStyle w:val="FootnoteReference"/>
          <w:rFonts w:ascii="Palatino Linotype" w:hAnsi="Palatino Linotype"/>
          <w:sz w:val="20"/>
          <w:szCs w:val="20"/>
          <w:lang w:val="en-GB"/>
        </w:rPr>
        <w:footnoteRef/>
      </w:r>
      <w:r w:rsidRPr="00F61EB0">
        <w:rPr>
          <w:rFonts w:ascii="Palatino Linotype" w:hAnsi="Palatino Linotype"/>
          <w:sz w:val="20"/>
          <w:szCs w:val="20"/>
          <w:lang w:val="en-GB"/>
        </w:rPr>
        <w:t xml:space="preserve"> Charles Henry Smith, ‘Letter to Papa’ (n.s., 27 June 1856): YDS: ES Box 1: Folder 12. </w:t>
      </w:r>
    </w:p>
  </w:footnote>
  <w:footnote w:id="4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n.s., ‘Missionaries’ Children Returned to the United States: Questionnaire Circulated by R. Anderson’.</w:t>
      </w:r>
    </w:p>
  </w:footnote>
  <w:footnote w:id="4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For more on the male Boarding School or Seminary during its earliest years see Williams, ‘Rebecca Williams Hebard’: 13-17; Wortabet, </w:t>
      </w:r>
      <w:r w:rsidRPr="00F61EB0">
        <w:rPr>
          <w:rFonts w:ascii="Palatino Linotype" w:hAnsi="Palatino Linotype"/>
          <w:i/>
          <w:lang w:val="en-GB"/>
        </w:rPr>
        <w:t>SS:</w:t>
      </w:r>
      <w:r w:rsidRPr="00F61EB0">
        <w:rPr>
          <w:rFonts w:ascii="Palatino Linotype" w:hAnsi="Palatino Linotype"/>
          <w:lang w:val="en-GB"/>
        </w:rPr>
        <w:t xml:space="preserve"> </w:t>
      </w:r>
      <w:r w:rsidRPr="00F61EB0">
        <w:rPr>
          <w:rFonts w:ascii="Palatino Linotype" w:hAnsi="Palatino Linotype"/>
          <w:i/>
          <w:lang w:val="en-GB"/>
        </w:rPr>
        <w:t>I:</w:t>
      </w:r>
      <w:r w:rsidRPr="00F61EB0">
        <w:rPr>
          <w:rFonts w:ascii="Palatino Linotype" w:hAnsi="Palatino Linotype"/>
          <w:lang w:val="en-GB"/>
        </w:rPr>
        <w:t xml:space="preserve"> 68-72.</w:t>
      </w:r>
    </w:p>
  </w:footnote>
  <w:footnote w:id="4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Mattson, ‘Adoption and Fostering’: 1.</w:t>
      </w:r>
    </w:p>
  </w:footnote>
  <w:footnote w:id="4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Emphasis Added. Hooker, </w:t>
      </w:r>
      <w:r w:rsidRPr="00F61EB0">
        <w:rPr>
          <w:rFonts w:ascii="Palatino Linotype" w:hAnsi="Palatino Linotype"/>
          <w:i/>
          <w:lang w:val="en-GB"/>
        </w:rPr>
        <w:t>MSLS</w:t>
      </w:r>
      <w:r w:rsidRPr="00F61EB0">
        <w:rPr>
          <w:rFonts w:ascii="Palatino Linotype" w:hAnsi="Palatino Linotype"/>
          <w:lang w:val="en-GB"/>
        </w:rPr>
        <w:t>: 279-281.</w:t>
      </w:r>
    </w:p>
  </w:footnote>
  <w:footnote w:id="5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Whiting, ‘Report: Native Girls Under Instruction in the Mission Families’. </w:t>
      </w:r>
    </w:p>
  </w:footnote>
  <w:footnote w:id="5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Hooker, </w:t>
      </w:r>
      <w:r w:rsidRPr="00F61EB0">
        <w:rPr>
          <w:rFonts w:ascii="Palatino Linotype" w:hAnsi="Palatino Linotype"/>
          <w:i/>
          <w:lang w:val="en-GB"/>
        </w:rPr>
        <w:t>MSLS</w:t>
      </w:r>
      <w:r w:rsidRPr="00F61EB0">
        <w:rPr>
          <w:rFonts w:ascii="Palatino Linotype" w:hAnsi="Palatino Linotype"/>
          <w:lang w:val="en-GB"/>
        </w:rPr>
        <w:t>: 282; Smith, ‘Letter to Matilda Whiting’ (Beirut, 4 June 1835).</w:t>
      </w:r>
    </w:p>
  </w:footnote>
  <w:footnote w:id="52">
    <w:p w:rsidR="00665C5A" w:rsidRPr="00F61EB0" w:rsidRDefault="00665C5A" w:rsidP="001761FF">
      <w:pPr>
        <w:pStyle w:val="FootnoteText"/>
        <w:ind w:left="90" w:hanging="90"/>
        <w:jc w:val="both"/>
        <w:rPr>
          <w:rFonts w:ascii="Palatino Linotype" w:hAnsi="Palatino Linotype"/>
        </w:rPr>
      </w:pPr>
      <w:r w:rsidRPr="00F61EB0">
        <w:rPr>
          <w:rStyle w:val="FootnoteReference"/>
          <w:rFonts w:ascii="Palatino Linotype" w:hAnsi="Palatino Linotype"/>
        </w:rPr>
        <w:footnoteRef/>
      </w:r>
      <w:r w:rsidRPr="00F61EB0">
        <w:rPr>
          <w:rFonts w:ascii="Palatino Linotype" w:hAnsi="Palatino Linotype"/>
        </w:rPr>
        <w:t xml:space="preserve"> Betsy Tilden in Jessup, </w:t>
      </w:r>
      <w:r w:rsidRPr="00F61EB0">
        <w:rPr>
          <w:rFonts w:ascii="Palatino Linotype" w:hAnsi="Palatino Linotype"/>
          <w:i/>
        </w:rPr>
        <w:t>WA</w:t>
      </w:r>
      <w:r w:rsidRPr="00F61EB0">
        <w:rPr>
          <w:rFonts w:ascii="Palatino Linotype" w:hAnsi="Palatino Linotype"/>
        </w:rPr>
        <w:t>: 55.</w:t>
      </w:r>
    </w:p>
  </w:footnote>
  <w:footnote w:id="53">
    <w:p w:rsidR="00665C5A" w:rsidRPr="00F61EB0" w:rsidRDefault="00665C5A" w:rsidP="001761FF">
      <w:pPr>
        <w:pStyle w:val="FootnoteText"/>
        <w:ind w:left="90" w:hanging="90"/>
        <w:jc w:val="both"/>
        <w:rPr>
          <w:rFonts w:ascii="Palatino Linotype" w:hAnsi="Palatino Linotype"/>
        </w:rPr>
      </w:pPr>
      <w:r w:rsidRPr="00F61EB0">
        <w:rPr>
          <w:rStyle w:val="FootnoteReference"/>
          <w:rFonts w:ascii="Palatino Linotype" w:hAnsi="Palatino Linotype"/>
        </w:rPr>
        <w:footnoteRef/>
      </w:r>
      <w:r w:rsidRPr="00F61EB0">
        <w:rPr>
          <w:rFonts w:ascii="Palatino Linotype" w:hAnsi="Palatino Linotype"/>
        </w:rPr>
        <w:t xml:space="preserve"> A list of the students at these official boarding schools are listed in Appendix II:C, while some of those who resided within missionary families are listed in Appendix I:D.</w:t>
      </w:r>
    </w:p>
  </w:footnote>
  <w:footnote w:id="5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Due to these different manifestations, tracing the history of the Beirut Female Seminary is an arduous process, however an overview of its history is presented in Fleischmann, ‘Evangelization or Education: American Protestant Missionaries’: 263-280; Jessup, </w:t>
      </w:r>
      <w:r w:rsidRPr="00F61EB0">
        <w:rPr>
          <w:rFonts w:ascii="Palatino Linotype" w:hAnsi="Palatino Linotype"/>
          <w:i/>
          <w:lang w:val="en-GB"/>
        </w:rPr>
        <w:t>WA</w:t>
      </w:r>
      <w:r w:rsidRPr="00F61EB0">
        <w:rPr>
          <w:rFonts w:ascii="Palatino Linotype" w:hAnsi="Palatino Linotype"/>
          <w:lang w:val="en-GB"/>
        </w:rPr>
        <w:t>: 73-113.</w:t>
      </w:r>
    </w:p>
  </w:footnote>
  <w:footnote w:id="5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Jessup, </w:t>
      </w:r>
      <w:r w:rsidRPr="00F61EB0">
        <w:rPr>
          <w:rFonts w:ascii="Palatino Linotype" w:hAnsi="Palatino Linotype"/>
          <w:i/>
          <w:lang w:val="en-GB"/>
        </w:rPr>
        <w:t>WA</w:t>
      </w:r>
      <w:r w:rsidRPr="00F61EB0">
        <w:rPr>
          <w:rFonts w:ascii="Palatino Linotype" w:hAnsi="Palatino Linotype"/>
          <w:lang w:val="en-GB"/>
        </w:rPr>
        <w:t xml:space="preserve">: 57-72. </w:t>
      </w:r>
    </w:p>
  </w:footnote>
  <w:footnote w:id="56">
    <w:p w:rsidR="00665C5A" w:rsidRPr="00F61EB0" w:rsidRDefault="00665C5A" w:rsidP="001761FF">
      <w:pPr>
        <w:pStyle w:val="FootnoteText"/>
        <w:ind w:left="90" w:hanging="90"/>
        <w:jc w:val="both"/>
        <w:rPr>
          <w:rFonts w:ascii="Palatino Linotype" w:hAnsi="Palatino Linotype"/>
        </w:rPr>
      </w:pPr>
      <w:r w:rsidRPr="00F61EB0">
        <w:rPr>
          <w:rStyle w:val="FootnoteReference"/>
          <w:rFonts w:ascii="Palatino Linotype" w:hAnsi="Palatino Linotype"/>
        </w:rPr>
        <w:footnoteRef/>
      </w:r>
      <w:r w:rsidRPr="00F61EB0">
        <w:rPr>
          <w:rFonts w:ascii="Palatino Linotype" w:hAnsi="Palatino Linotype"/>
        </w:rPr>
        <w:t xml:space="preserve"> Butrus al-Bustani in Jessup, </w:t>
      </w:r>
      <w:r w:rsidRPr="00F61EB0">
        <w:rPr>
          <w:rFonts w:ascii="Palatino Linotype" w:hAnsi="Palatino Linotype"/>
          <w:i/>
        </w:rPr>
        <w:t>WA</w:t>
      </w:r>
      <w:r w:rsidRPr="00F61EB0">
        <w:rPr>
          <w:rFonts w:ascii="Palatino Linotype" w:hAnsi="Palatino Linotype"/>
        </w:rPr>
        <w:t xml:space="preserve">: 200. This was truer for Matilda than Catherine, for Catherine also ‘mothered’ Charlie Smith and two Syrian girls, Lulu Araman and Khozma Ata. </w:t>
      </w:r>
    </w:p>
  </w:footnote>
  <w:footnote w:id="5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Bliss, </w:t>
      </w:r>
      <w:r w:rsidRPr="00F61EB0">
        <w:rPr>
          <w:rFonts w:ascii="Palatino Linotype" w:hAnsi="Palatino Linotype"/>
          <w:i/>
          <w:lang w:val="en-GB"/>
        </w:rPr>
        <w:t>RDS:</w:t>
      </w:r>
      <w:r w:rsidRPr="00F61EB0">
        <w:rPr>
          <w:rFonts w:ascii="Palatino Linotype" w:hAnsi="Palatino Linotype"/>
          <w:lang w:val="en-GB"/>
        </w:rPr>
        <w:t xml:space="preserve"> 130.</w:t>
      </w:r>
    </w:p>
  </w:footnote>
  <w:footnote w:id="5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These reports were written by the male missionaries in these households. e.g. George. B. Whiting, ‘Report on Female Education’ (Jerusalem, 1841): PHS: RG 115 Box 3-1:B:3; Whiting, ‘Report: Native Girls Under Instruction in the Mission Families’; Henry A. DeForest, ‘Letter to R. Anderson’ (Abeih, 15 August 1850): 138-142; Henry A. DeForest, ‘Report of Female Seminary’ (n.s., 1853): PHS: RG 115 Box 3-1:B:7. </w:t>
      </w:r>
    </w:p>
  </w:footnote>
  <w:footnote w:id="5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(1850): 257.</w:t>
      </w:r>
    </w:p>
  </w:footnote>
  <w:footnote w:id="6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Catherine DeForest in Jessup, </w:t>
      </w:r>
      <w:r w:rsidRPr="00F61EB0">
        <w:rPr>
          <w:rFonts w:ascii="Palatino Linotype" w:hAnsi="Palatino Linotype"/>
          <w:i/>
          <w:lang w:val="en-GB"/>
        </w:rPr>
        <w:t>WA</w:t>
      </w:r>
      <w:r w:rsidRPr="00F61EB0">
        <w:rPr>
          <w:rFonts w:ascii="Palatino Linotype" w:hAnsi="Palatino Linotype"/>
          <w:lang w:val="en-GB"/>
        </w:rPr>
        <w:t>: 89.</w:t>
      </w:r>
    </w:p>
  </w:footnote>
  <w:footnote w:id="6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Similar relationships developed amongst women from other missionary organisations. Compare with Thomas Laurie, </w:t>
      </w:r>
      <w:r w:rsidRPr="00F61EB0">
        <w:rPr>
          <w:rFonts w:ascii="Palatino Linotype" w:hAnsi="Palatino Linotype"/>
          <w:i/>
          <w:lang w:val="en-GB"/>
        </w:rPr>
        <w:t>Women and Her Saviour in Persia</w:t>
      </w:r>
      <w:r w:rsidRPr="00F61EB0">
        <w:rPr>
          <w:rFonts w:ascii="Palatino Linotype" w:hAnsi="Palatino Linotype"/>
          <w:lang w:val="en-GB"/>
        </w:rPr>
        <w:t xml:space="preserve"> (London: J. Nisbet and Co.): 25-44; Murre-van den Berg, ‘Nineteenth-Century Protestant Missions’: 107-108; Elizabeth Helen Watson, ‘Last Will and Testament’ (Beirut, 13 May 1865): [British] PRO: FO 616/5. </w:t>
      </w:r>
    </w:p>
  </w:footnote>
  <w:footnote w:id="6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Melita Carabet in Jessup, </w:t>
      </w:r>
      <w:r w:rsidRPr="00F61EB0">
        <w:rPr>
          <w:rFonts w:ascii="Palatino Linotype" w:hAnsi="Palatino Linotype"/>
          <w:i/>
          <w:lang w:val="en-GB"/>
        </w:rPr>
        <w:t>WA</w:t>
      </w:r>
      <w:r w:rsidRPr="00F61EB0">
        <w:rPr>
          <w:rFonts w:ascii="Palatino Linotype" w:hAnsi="Palatino Linotype"/>
          <w:lang w:val="en-GB"/>
        </w:rPr>
        <w:t>: 65-66.</w:t>
      </w:r>
      <w:r w:rsidRPr="00F61EB0">
        <w:rPr>
          <w:rFonts w:ascii="Palatino Linotype" w:hAnsi="Palatino Linotype"/>
          <w:sz w:val="24"/>
          <w:szCs w:val="24"/>
          <w:lang w:val="en-GB"/>
        </w:rPr>
        <w:t xml:space="preserve"> </w:t>
      </w:r>
      <w:r w:rsidRPr="00F61EB0">
        <w:rPr>
          <w:rFonts w:ascii="Palatino Linotype" w:hAnsi="Palatino Linotype"/>
          <w:lang w:val="en-GB"/>
        </w:rPr>
        <w:t>It was common practice for individuals to employ formal titles when referring to close friends and relatives in ‘public’ letters and writings.</w:t>
      </w:r>
    </w:p>
  </w:footnote>
  <w:footnote w:id="6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Jessup, </w:t>
      </w:r>
      <w:r w:rsidRPr="00F61EB0">
        <w:rPr>
          <w:rFonts w:ascii="Palatino Linotype" w:hAnsi="Palatino Linotype"/>
          <w:i/>
          <w:lang w:val="en-GB"/>
        </w:rPr>
        <w:t>WA</w:t>
      </w:r>
      <w:r w:rsidRPr="00F61EB0">
        <w:rPr>
          <w:rFonts w:ascii="Palatino Linotype" w:hAnsi="Palatino Linotype"/>
          <w:lang w:val="en-GB"/>
        </w:rPr>
        <w:t>: 137. Booth notes that in the late nineteenth century Arabic biography of Rahil al-Bustani, Sarah Smith was ‘called Rahil’s “mother”.’ Booth, ‘She Herself was the Ultimate Rule’: 435.</w:t>
      </w:r>
    </w:p>
  </w:footnote>
  <w:footnote w:id="6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Jessup, </w:t>
      </w:r>
      <w:r w:rsidRPr="00F61EB0">
        <w:rPr>
          <w:rFonts w:ascii="Palatino Linotype" w:hAnsi="Palatino Linotype"/>
          <w:i/>
          <w:lang w:val="en-GB"/>
        </w:rPr>
        <w:t>WA</w:t>
      </w:r>
      <w:r w:rsidRPr="00F61EB0">
        <w:rPr>
          <w:rFonts w:ascii="Palatino Linotype" w:hAnsi="Palatino Linotype"/>
          <w:lang w:val="en-GB"/>
        </w:rPr>
        <w:t>: 90-91.</w:t>
      </w:r>
    </w:p>
  </w:footnote>
  <w:footnote w:id="6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Comaroff and Comaroff, </w:t>
      </w:r>
      <w:r w:rsidRPr="00F61EB0">
        <w:rPr>
          <w:rFonts w:ascii="Palatino Linotype" w:hAnsi="Palatino Linotype"/>
          <w:i/>
          <w:lang w:val="en-GB"/>
        </w:rPr>
        <w:t>RR: I</w:t>
      </w:r>
      <w:r w:rsidRPr="00F61EB0">
        <w:rPr>
          <w:rFonts w:ascii="Palatino Linotype" w:hAnsi="Palatino Linotype"/>
          <w:lang w:val="en-GB"/>
        </w:rPr>
        <w:t>: 219</w:t>
      </w:r>
    </w:p>
  </w:footnote>
  <w:footnote w:id="6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Makdisi, </w:t>
      </w:r>
      <w:r w:rsidRPr="00F61EB0">
        <w:rPr>
          <w:rFonts w:ascii="Palatino Linotype" w:hAnsi="Palatino Linotype"/>
          <w:i/>
          <w:lang w:val="en-GB"/>
        </w:rPr>
        <w:t>Teta, Mother and Me</w:t>
      </w:r>
      <w:r w:rsidRPr="00F61EB0">
        <w:rPr>
          <w:rFonts w:ascii="Palatino Linotype" w:hAnsi="Palatino Linotype"/>
          <w:lang w:val="en-GB"/>
        </w:rPr>
        <w:t>: 27-30.</w:t>
      </w:r>
    </w:p>
  </w:footnote>
  <w:footnote w:id="6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Philippe Fargues, ‘Family and Household in Mid-Nineteenth-Century Cairo’, in: B. Doumani, (ed.), </w:t>
      </w:r>
      <w:r w:rsidRPr="00F61EB0">
        <w:rPr>
          <w:rFonts w:ascii="Palatino Linotype" w:hAnsi="Palatino Linotype"/>
          <w:i/>
          <w:lang w:val="en-GB"/>
        </w:rPr>
        <w:t>Family History in the Middle East: Household, Property, and Gender</w:t>
      </w:r>
      <w:r w:rsidRPr="00F61EB0">
        <w:rPr>
          <w:rFonts w:ascii="Palatino Linotype" w:hAnsi="Palatino Linotype"/>
          <w:lang w:val="en-GB"/>
        </w:rPr>
        <w:t xml:space="preserve"> (Albany: State University of New York Press): 36-38.</w:t>
      </w:r>
    </w:p>
  </w:footnote>
  <w:footnote w:id="6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Mattson, ‘Adoption and Fostering’: 1.</w:t>
      </w:r>
    </w:p>
  </w:footnote>
  <w:footnote w:id="6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For examples of fostering see Kayat, </w:t>
      </w:r>
      <w:r w:rsidRPr="00F61EB0">
        <w:rPr>
          <w:rFonts w:ascii="Palatino Linotype" w:hAnsi="Palatino Linotype"/>
          <w:i/>
          <w:lang w:val="en-GB"/>
        </w:rPr>
        <w:t>A Voice from Lebanon</w:t>
      </w:r>
      <w:r w:rsidRPr="00F61EB0">
        <w:rPr>
          <w:rFonts w:ascii="Palatino Linotype" w:hAnsi="Palatino Linotype"/>
          <w:lang w:val="en-GB"/>
        </w:rPr>
        <w:t xml:space="preserve">: 7-26; Effendi, </w:t>
      </w:r>
      <w:r w:rsidRPr="00F61EB0">
        <w:rPr>
          <w:rFonts w:ascii="Palatino Linotype" w:hAnsi="Palatino Linotype"/>
          <w:i/>
          <w:lang w:val="en-GB"/>
        </w:rPr>
        <w:t>The Thistle and the Cedar of Lebanon</w:t>
      </w:r>
      <w:r w:rsidRPr="00F61EB0">
        <w:rPr>
          <w:rFonts w:ascii="Palatino Linotype" w:hAnsi="Palatino Linotype"/>
          <w:lang w:val="en-GB"/>
        </w:rPr>
        <w:t xml:space="preserve">: 5-13. </w:t>
      </w:r>
    </w:p>
  </w:footnote>
  <w:footnote w:id="7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Eli Smith, ‘Letter to Brother’ (Beirut, 6 February 1843): YDS: ES Box 1: Folder 4; </w:t>
      </w:r>
      <w:r w:rsidRPr="00F61EB0">
        <w:rPr>
          <w:rFonts w:ascii="Palatino Linotype" w:hAnsi="Palatino Linotype"/>
          <w:i/>
          <w:lang w:val="en-GB"/>
        </w:rPr>
        <w:t>MH</w:t>
      </w:r>
      <w:r w:rsidRPr="00F61EB0">
        <w:rPr>
          <w:rFonts w:ascii="Palatino Linotype" w:hAnsi="Palatino Linotype"/>
          <w:lang w:val="en-GB"/>
        </w:rPr>
        <w:t xml:space="preserve"> (1843): 282-284.</w:t>
      </w:r>
    </w:p>
  </w:footnote>
  <w:footnote w:id="7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Lulu had attended a family wedding when her brothers sought to prevent her from returning to the DeForests and the Protestant community. Catherine DeForest in Jessup, </w:t>
      </w:r>
      <w:r w:rsidRPr="00F61EB0">
        <w:rPr>
          <w:rFonts w:ascii="Palatino Linotype" w:hAnsi="Palatino Linotype"/>
          <w:i/>
          <w:lang w:val="en-GB"/>
        </w:rPr>
        <w:t>WA</w:t>
      </w:r>
      <w:r w:rsidRPr="00F61EB0">
        <w:rPr>
          <w:rFonts w:ascii="Palatino Linotype" w:hAnsi="Palatino Linotype"/>
          <w:lang w:val="en-GB"/>
        </w:rPr>
        <w:t>: 90.</w:t>
      </w:r>
    </w:p>
  </w:footnote>
  <w:footnote w:id="72">
    <w:p w:rsidR="00665C5A" w:rsidRPr="00F61EB0" w:rsidRDefault="00665C5A" w:rsidP="001761FF">
      <w:pPr>
        <w:pStyle w:val="FootnoteText"/>
        <w:ind w:left="90" w:hanging="90"/>
        <w:jc w:val="both"/>
        <w:rPr>
          <w:rFonts w:ascii="Palatino Linotype" w:hAnsi="Palatino Linotype"/>
        </w:rPr>
      </w:pPr>
      <w:r w:rsidRPr="00F61EB0">
        <w:rPr>
          <w:rStyle w:val="FootnoteReference"/>
          <w:rFonts w:ascii="Palatino Linotype" w:hAnsi="Palatino Linotype"/>
        </w:rPr>
        <w:footnoteRef/>
      </w:r>
      <w:r w:rsidRPr="00F61EB0">
        <w:rPr>
          <w:rFonts w:ascii="Palatino Linotype" w:hAnsi="Palatino Linotype"/>
        </w:rPr>
        <w:t xml:space="preserve"> </w:t>
      </w:r>
      <w:r w:rsidRPr="00F61EB0">
        <w:rPr>
          <w:rFonts w:ascii="Palatino Linotype" w:hAnsi="Palatino Linotype"/>
          <w:i/>
          <w:lang w:val="en-GB"/>
        </w:rPr>
        <w:t>MSM</w:t>
      </w:r>
      <w:r w:rsidRPr="00F61EB0">
        <w:rPr>
          <w:rFonts w:ascii="Palatino Linotype" w:hAnsi="Palatino Linotype"/>
          <w:lang w:val="en-GB"/>
        </w:rPr>
        <w:t>: 22.</w:t>
      </w:r>
    </w:p>
  </w:footnote>
  <w:footnote w:id="7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Jessup, </w:t>
      </w:r>
      <w:r w:rsidRPr="00F61EB0">
        <w:rPr>
          <w:rFonts w:ascii="Palatino Linotype" w:hAnsi="Palatino Linotype"/>
          <w:i/>
          <w:lang w:val="en-GB"/>
        </w:rPr>
        <w:t>WA</w:t>
      </w:r>
      <w:r w:rsidRPr="00F61EB0">
        <w:rPr>
          <w:rFonts w:ascii="Palatino Linotype" w:hAnsi="Palatino Linotype"/>
          <w:lang w:val="en-GB"/>
        </w:rPr>
        <w:t>: 136-137.</w:t>
      </w:r>
    </w:p>
  </w:footnote>
  <w:footnote w:id="7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Robinson and Smith, </w:t>
      </w:r>
      <w:r w:rsidRPr="00F61EB0">
        <w:rPr>
          <w:rFonts w:ascii="Palatino Linotype" w:hAnsi="Palatino Linotype"/>
          <w:i/>
          <w:lang w:val="en-GB"/>
        </w:rPr>
        <w:t>BR: I</w:t>
      </w:r>
      <w:r w:rsidRPr="00F61EB0">
        <w:rPr>
          <w:rFonts w:ascii="Palatino Linotype" w:hAnsi="Palatino Linotype"/>
          <w:lang w:val="en-GB"/>
        </w:rPr>
        <w:t>: 377.</w:t>
      </w:r>
    </w:p>
  </w:footnote>
  <w:footnote w:id="7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Henrietta Smith, ‘Letter to Husband’ (n.s., 6 June 1856): YDS: ES Box 2: Folder 1. </w:t>
      </w:r>
    </w:p>
  </w:footnote>
  <w:footnote w:id="7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It is unclear if English or Arabic was spoken in the Wortabets’ home in Hasbaya. A similar household was visited by Robinson and Smith in Akka, where the children, educated at the Protestant seminaries, were fluent in English, but their widowed mother, was not. Robinson and Smith, </w:t>
      </w:r>
      <w:r w:rsidRPr="00F61EB0">
        <w:rPr>
          <w:rFonts w:ascii="Palatino Linotype" w:hAnsi="Palatino Linotype"/>
          <w:i/>
          <w:lang w:val="en-GB"/>
        </w:rPr>
        <w:t>BR: III</w:t>
      </w:r>
      <w:r w:rsidRPr="00F61EB0">
        <w:rPr>
          <w:rFonts w:ascii="Palatino Linotype" w:hAnsi="Palatino Linotype"/>
          <w:lang w:val="en-GB"/>
        </w:rPr>
        <w:t>: 90.</w:t>
      </w:r>
    </w:p>
  </w:footnote>
  <w:footnote w:id="7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The irony that the ABCFM employed the term ‘return’ for missionary children born at the mission station can not go unnoticed, for it reveals the perceived national identity for these children which was not always affirmed by the children themselves. Robert, </w:t>
      </w:r>
      <w:r w:rsidRPr="00F61EB0">
        <w:rPr>
          <w:rFonts w:ascii="Palatino Linotype" w:hAnsi="Palatino Linotype"/>
          <w:i/>
          <w:lang w:val="en-GB"/>
        </w:rPr>
        <w:t>American Women in Mission</w:t>
      </w:r>
      <w:r w:rsidRPr="00F61EB0">
        <w:rPr>
          <w:rFonts w:ascii="Palatino Linotype" w:hAnsi="Palatino Linotype"/>
          <w:lang w:val="en-GB"/>
        </w:rPr>
        <w:t xml:space="preserve">: 61.  </w:t>
      </w:r>
    </w:p>
  </w:footnote>
  <w:footnote w:id="7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For a history of this debate see </w:t>
      </w:r>
      <w:r w:rsidRPr="00F61EB0">
        <w:rPr>
          <w:rFonts w:ascii="Palatino Linotype" w:hAnsi="Palatino Linotype"/>
          <w:i/>
          <w:lang w:val="en-GB"/>
        </w:rPr>
        <w:t>MH</w:t>
      </w:r>
      <w:r w:rsidRPr="00F61EB0">
        <w:rPr>
          <w:rFonts w:ascii="Palatino Linotype" w:hAnsi="Palatino Linotype"/>
          <w:lang w:val="en-GB"/>
        </w:rPr>
        <w:t xml:space="preserve"> (1846): 333-337, where the results of the meeting were published.</w:t>
      </w:r>
    </w:p>
  </w:footnote>
  <w:footnote w:id="7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(1846): 333.</w:t>
      </w:r>
    </w:p>
  </w:footnote>
  <w:footnote w:id="8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See ‘rule 1’ in Anderson, </w:t>
      </w:r>
      <w:r w:rsidRPr="00F61EB0">
        <w:rPr>
          <w:rFonts w:ascii="Palatino Linotype" w:hAnsi="Palatino Linotype"/>
          <w:i/>
          <w:lang w:val="en-GB"/>
        </w:rPr>
        <w:t>MV</w:t>
      </w:r>
      <w:r w:rsidRPr="00F61EB0">
        <w:rPr>
          <w:rFonts w:ascii="Palatino Linotype" w:hAnsi="Palatino Linotype"/>
          <w:lang w:val="en-GB"/>
        </w:rPr>
        <w:t xml:space="preserve">: 278. </w:t>
      </w:r>
    </w:p>
  </w:footnote>
  <w:footnote w:id="8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Beecher, </w:t>
      </w:r>
      <w:r w:rsidRPr="00F61EB0">
        <w:rPr>
          <w:rFonts w:ascii="Palatino Linotype" w:hAnsi="Palatino Linotype"/>
          <w:i/>
          <w:lang w:val="en-GB"/>
        </w:rPr>
        <w:t>Treatise on Domestic Economy</w:t>
      </w:r>
      <w:r w:rsidRPr="00F61EB0">
        <w:rPr>
          <w:rFonts w:ascii="Palatino Linotype" w:hAnsi="Palatino Linotype"/>
          <w:lang w:val="en-GB"/>
        </w:rPr>
        <w:t xml:space="preserve">: 49; Bliss, </w:t>
      </w:r>
      <w:r w:rsidRPr="00F61EB0">
        <w:rPr>
          <w:rFonts w:ascii="Palatino Linotype" w:hAnsi="Palatino Linotype"/>
          <w:i/>
          <w:lang w:val="en-GB"/>
        </w:rPr>
        <w:t>RDS</w:t>
      </w:r>
      <w:r w:rsidRPr="00F61EB0">
        <w:rPr>
          <w:rFonts w:ascii="Palatino Linotype" w:hAnsi="Palatino Linotype"/>
          <w:lang w:val="en-GB"/>
        </w:rPr>
        <w:t xml:space="preserve">: 81; Ryan, </w:t>
      </w:r>
      <w:r w:rsidRPr="00F61EB0">
        <w:rPr>
          <w:rFonts w:ascii="Palatino Linotype" w:hAnsi="Palatino Linotype"/>
          <w:i/>
          <w:lang w:val="en-GB"/>
        </w:rPr>
        <w:t>Cradle of the Middle Class</w:t>
      </w:r>
      <w:r w:rsidRPr="00F61EB0">
        <w:rPr>
          <w:rFonts w:ascii="Palatino Linotype" w:hAnsi="Palatino Linotype"/>
          <w:lang w:val="en-GB"/>
        </w:rPr>
        <w:t>: 162-170.</w:t>
      </w:r>
    </w:p>
  </w:footnote>
  <w:footnote w:id="82">
    <w:p w:rsidR="00665C5A" w:rsidRPr="00F61EB0" w:rsidRDefault="00665C5A" w:rsidP="001761FF">
      <w:pPr>
        <w:pStyle w:val="FootnoteText"/>
        <w:ind w:left="90" w:hanging="90"/>
        <w:jc w:val="both"/>
        <w:rPr>
          <w:rFonts w:ascii="Palatino Linotype" w:hAnsi="Palatino Linotype"/>
        </w:rPr>
      </w:pPr>
      <w:r w:rsidRPr="00F61EB0">
        <w:rPr>
          <w:rStyle w:val="FootnoteReference"/>
          <w:rFonts w:ascii="Palatino Linotype" w:hAnsi="Palatino Linotype"/>
        </w:rPr>
        <w:footnoteRef/>
      </w:r>
      <w:r w:rsidRPr="00F61EB0">
        <w:rPr>
          <w:rFonts w:ascii="Palatino Linotype" w:hAnsi="Palatino Linotype"/>
        </w:rPr>
        <w:t xml:space="preserve"> </w:t>
      </w:r>
      <w:r w:rsidRPr="00F61EB0">
        <w:rPr>
          <w:rFonts w:ascii="Palatino Linotype" w:hAnsi="Palatino Linotype"/>
          <w:lang w:val="en-GB"/>
        </w:rPr>
        <w:t>Whiting, ‘Report: Native Girls Under Instruction in the Mission Families’.</w:t>
      </w:r>
    </w:p>
  </w:footnote>
  <w:footnote w:id="8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(1846): 336.</w:t>
      </w:r>
    </w:p>
  </w:footnote>
  <w:footnote w:id="8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Lulu’s parents died when she was young and she was raised by her brothers until placed in the DeForest household. Jessup, </w:t>
      </w:r>
      <w:r w:rsidRPr="00F61EB0">
        <w:rPr>
          <w:rFonts w:ascii="Palatino Linotype" w:hAnsi="Palatino Linotype"/>
          <w:i/>
          <w:lang w:val="en-GB"/>
        </w:rPr>
        <w:t>MA</w:t>
      </w:r>
      <w:r w:rsidRPr="00F61EB0">
        <w:rPr>
          <w:rFonts w:ascii="Palatino Linotype" w:hAnsi="Palatino Linotype"/>
          <w:lang w:val="en-GB"/>
        </w:rPr>
        <w:t>: 89.</w:t>
      </w:r>
    </w:p>
  </w:footnote>
  <w:footnote w:id="8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Anderson, </w:t>
      </w:r>
      <w:r w:rsidRPr="00F61EB0">
        <w:rPr>
          <w:rFonts w:ascii="Palatino Linotype" w:hAnsi="Palatino Linotype"/>
          <w:i/>
          <w:lang w:val="en-GB"/>
        </w:rPr>
        <w:t>MV</w:t>
      </w:r>
      <w:r w:rsidRPr="00F61EB0">
        <w:rPr>
          <w:rFonts w:ascii="Palatino Linotype" w:hAnsi="Palatino Linotype"/>
          <w:lang w:val="en-GB"/>
        </w:rPr>
        <w:t xml:space="preserve">: 277-280; n.s., ‘Missionaries’ Children Returned to the United States: Questionnaire Circulated by R. Anderson’; n.s., ‘Missionaries’ Children Returned to the United States. Ca. 1832-1881: Records of Grants, Etc.’. </w:t>
      </w:r>
    </w:p>
  </w:footnote>
  <w:footnote w:id="8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Parents’ (Beirut, 30 May 1842); Eli Smith, ‘Letter to Sir [Mr. Lanman]’ (Beirut, 2 November 1842): YDS: ES Box 6: Folder 2. </w:t>
      </w:r>
    </w:p>
  </w:footnote>
  <w:footnote w:id="8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Catherine DeForest, ‘Letter to E. Smith’ (Bhamdoun, 11 August 1856): HHL: ABC 60 (17).</w:t>
      </w:r>
    </w:p>
  </w:footnote>
  <w:footnote w:id="8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Emphasis added. Catherine DeForest, ‘Letter to Eli Smith’ (n.s., 12 January 1846): HHL: ABC 60 (17). </w:t>
      </w:r>
    </w:p>
  </w:footnote>
  <w:footnote w:id="8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Mother’ (Bhamdoun, 27 October 1848); Eli Smith, ‘Letter to Mother’ (Bhamdoun, 31 August 1849): YDS: ES Box 1: Folder 6; Charles Henry Smith, ‘Letter to Mother’ (Rochester, [N.Y.], 16 September 1857): YDS: ES Box 2: Folder 2; Charles Henry Smith, ‘Letter to Mother’ (Rochester, [N.Y.], 15 December 1857): YDS: ES Box 2: Folder 2.</w:t>
      </w:r>
    </w:p>
  </w:footnote>
  <w:footnote w:id="9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 xml:space="preserve">MH </w:t>
      </w:r>
      <w:r w:rsidRPr="00F61EB0">
        <w:rPr>
          <w:rFonts w:ascii="Palatino Linotype" w:hAnsi="Palatino Linotype"/>
          <w:lang w:val="en-GB"/>
        </w:rPr>
        <w:t>(1833): 78.</w:t>
      </w:r>
    </w:p>
  </w:footnote>
  <w:footnote w:id="9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Jessup, </w:t>
      </w:r>
      <w:r w:rsidRPr="00F61EB0">
        <w:rPr>
          <w:rFonts w:ascii="Palatino Linotype" w:hAnsi="Palatino Linotype"/>
          <w:i/>
          <w:lang w:val="en-GB"/>
        </w:rPr>
        <w:t>WA</w:t>
      </w:r>
      <w:r w:rsidRPr="00F61EB0">
        <w:rPr>
          <w:rFonts w:ascii="Palatino Linotype" w:hAnsi="Palatino Linotype"/>
          <w:lang w:val="en-GB"/>
        </w:rPr>
        <w:t>: 31-132.</w:t>
      </w:r>
    </w:p>
  </w:footnote>
  <w:footnote w:id="9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It is unclear if Yakob died at this point, for Jessup simply commented that he ‘left his wife, and nothing was heard of him afterwards.’ Jessup, </w:t>
      </w:r>
      <w:r w:rsidRPr="00F61EB0">
        <w:rPr>
          <w:rFonts w:ascii="Palatino Linotype" w:hAnsi="Palatino Linotype"/>
          <w:i/>
          <w:lang w:val="en-GB"/>
        </w:rPr>
        <w:t>WA</w:t>
      </w:r>
      <w:r w:rsidRPr="00F61EB0">
        <w:rPr>
          <w:rFonts w:ascii="Palatino Linotype" w:hAnsi="Palatino Linotype"/>
          <w:lang w:val="en-GB"/>
        </w:rPr>
        <w:t>: 61</w:t>
      </w:r>
    </w:p>
  </w:footnote>
  <w:footnote w:id="9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At this time, an older brother of the sisters remained at the Seminary in Beirut. </w:t>
      </w:r>
      <w:r w:rsidRPr="00F61EB0">
        <w:rPr>
          <w:rFonts w:ascii="Palatino Linotype" w:hAnsi="Palatino Linotype"/>
          <w:i/>
          <w:lang w:val="en-GB"/>
        </w:rPr>
        <w:t>MH</w:t>
      </w:r>
      <w:r w:rsidRPr="00F61EB0">
        <w:rPr>
          <w:rFonts w:ascii="Palatino Linotype" w:hAnsi="Palatino Linotype"/>
          <w:lang w:val="en-GB"/>
        </w:rPr>
        <w:t xml:space="preserve"> (1841): 203.</w:t>
      </w:r>
    </w:p>
  </w:footnote>
  <w:footnote w:id="9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(1841): 203; Jessup, </w:t>
      </w:r>
      <w:r w:rsidRPr="00F61EB0">
        <w:rPr>
          <w:rFonts w:ascii="Palatino Linotype" w:hAnsi="Palatino Linotype"/>
          <w:i/>
          <w:lang w:val="en-GB"/>
        </w:rPr>
        <w:t>WA</w:t>
      </w:r>
      <w:r w:rsidRPr="00F61EB0">
        <w:rPr>
          <w:rFonts w:ascii="Palatino Linotype" w:hAnsi="Palatino Linotype"/>
          <w:lang w:val="en-GB"/>
        </w:rPr>
        <w:t>: 60-62.</w:t>
      </w:r>
    </w:p>
  </w:footnote>
  <w:footnote w:id="9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The reasons for Russian diplomatic involvement in this case are unclear from the sources. Colonel Rose, ‘Dispatch to Foreign Office’ (Beirut, 9 January 1845): [British] PRO: FO 615/5.</w:t>
      </w:r>
    </w:p>
  </w:footnote>
  <w:footnote w:id="9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(1841): 203.</w:t>
      </w:r>
    </w:p>
  </w:footnote>
  <w:footnote w:id="9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Compare with Okawara, ‘Size and Structure’: 66-67.</w:t>
      </w:r>
    </w:p>
  </w:footnote>
  <w:footnote w:id="9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(1834): 127-128; Kayat, </w:t>
      </w:r>
      <w:r w:rsidRPr="00F61EB0">
        <w:rPr>
          <w:rFonts w:ascii="Palatino Linotype" w:hAnsi="Palatino Linotype"/>
          <w:i/>
          <w:lang w:val="en-GB"/>
        </w:rPr>
        <w:t xml:space="preserve">A Voice from Lebanon: </w:t>
      </w:r>
      <w:r w:rsidRPr="00F61EB0">
        <w:rPr>
          <w:rFonts w:ascii="Palatino Linotype" w:hAnsi="Palatino Linotype"/>
          <w:lang w:val="en-GB"/>
        </w:rPr>
        <w:t xml:space="preserve">39-42; Bird, ‘Letter to Sir: Private’ (Smyrna, 4 December 1835); ABCFM, </w:t>
      </w:r>
      <w:r w:rsidRPr="00F61EB0">
        <w:rPr>
          <w:rFonts w:ascii="Palatino Linotype" w:hAnsi="Palatino Linotype"/>
          <w:i/>
          <w:lang w:val="en-GB"/>
        </w:rPr>
        <w:t>Annual Report</w:t>
      </w:r>
      <w:r w:rsidRPr="00F61EB0">
        <w:rPr>
          <w:rFonts w:ascii="Palatino Linotype" w:hAnsi="Palatino Linotype"/>
          <w:lang w:val="en-GB"/>
        </w:rPr>
        <w:t xml:space="preserve"> (Beirut: 1835); Henrietta Smith, ‘Letter to Husband’ (n.s., 1 June [1856]): YDS: ES Box 2: Folder 1; Smith, ‘Letter to Papa’ (n.s., 27 June 1856). These were often in households that did not have schoolrooms for Syrian children.</w:t>
      </w:r>
    </w:p>
  </w:footnote>
  <w:footnote w:id="9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Beecher, </w:t>
      </w:r>
      <w:r w:rsidRPr="00F61EB0">
        <w:rPr>
          <w:rFonts w:ascii="Palatino Linotype" w:hAnsi="Palatino Linotype"/>
          <w:i/>
          <w:lang w:val="en-GB"/>
        </w:rPr>
        <w:t>Treatise on Domestic Economy</w:t>
      </w:r>
      <w:r w:rsidRPr="00F61EB0">
        <w:rPr>
          <w:rFonts w:ascii="Palatino Linotype" w:hAnsi="Palatino Linotype"/>
          <w:lang w:val="en-GB"/>
        </w:rPr>
        <w:t>: 151. For an analysis of Beecher’s domesticity and imperialism see Kaplan, ‘Manifest Domesticity’: 586-591.</w:t>
      </w:r>
    </w:p>
  </w:footnote>
  <w:footnote w:id="10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George B. Whiting, William M. Thomson, Charles V.A. Van Dyck, Samuel H. Calhoun, ‘Letter to R. Anderson’ (Abeih, 20 August 1844): ABCFM microfilm Unit 5: Near East: Reel 540: 9-12. </w:t>
      </w:r>
    </w:p>
  </w:footnote>
  <w:footnote w:id="10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ABCFM, </w:t>
      </w:r>
      <w:r w:rsidRPr="00F61EB0">
        <w:rPr>
          <w:rFonts w:ascii="Palatino Linotype" w:hAnsi="Palatino Linotype"/>
          <w:i/>
          <w:lang w:val="en-GB"/>
        </w:rPr>
        <w:t>Annual Report</w:t>
      </w:r>
      <w:r w:rsidRPr="00F61EB0">
        <w:rPr>
          <w:rFonts w:ascii="Palatino Linotype" w:hAnsi="Palatino Linotype"/>
          <w:lang w:val="en-GB"/>
        </w:rPr>
        <w:t xml:space="preserve"> (Beirut, 1850).</w:t>
      </w:r>
    </w:p>
  </w:footnote>
  <w:footnote w:id="10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ABCFM, </w:t>
      </w:r>
      <w:r w:rsidRPr="00F61EB0">
        <w:rPr>
          <w:rFonts w:ascii="Palatino Linotype" w:hAnsi="Palatino Linotype"/>
          <w:i/>
          <w:lang w:val="en-GB"/>
        </w:rPr>
        <w:t>Annual Report</w:t>
      </w:r>
      <w:r w:rsidRPr="00F61EB0">
        <w:rPr>
          <w:rFonts w:ascii="Palatino Linotype" w:hAnsi="Palatino Linotype"/>
          <w:lang w:val="en-GB"/>
        </w:rPr>
        <w:t xml:space="preserve"> (Beirut, 1850).</w:t>
      </w:r>
    </w:p>
  </w:footnote>
  <w:footnote w:id="103">
    <w:p w:rsidR="00665C5A" w:rsidRPr="00F61EB0" w:rsidRDefault="00665C5A" w:rsidP="001761FF">
      <w:pPr>
        <w:pStyle w:val="FootnoteText"/>
        <w:ind w:left="90" w:hanging="90"/>
        <w:jc w:val="both"/>
        <w:rPr>
          <w:rFonts w:ascii="Palatino Linotype" w:hAnsi="Palatino Linotype"/>
          <w:b/>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al-Bustani, ‘Khitab fi T‘alim al-Nisa’: 45-53.</w:t>
      </w:r>
    </w:p>
  </w:footnote>
  <w:footnote w:id="10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Butrus al-Bustani quoted in Jessup, </w:t>
      </w:r>
      <w:r w:rsidRPr="00F61EB0">
        <w:rPr>
          <w:rFonts w:ascii="Palatino Linotype" w:hAnsi="Palatino Linotype"/>
          <w:i/>
          <w:lang w:val="en-GB"/>
        </w:rPr>
        <w:t>WA</w:t>
      </w:r>
      <w:r w:rsidRPr="00F61EB0">
        <w:rPr>
          <w:rFonts w:ascii="Palatino Linotype" w:hAnsi="Palatino Linotype"/>
          <w:lang w:val="en-GB"/>
        </w:rPr>
        <w:t xml:space="preserve">: 161. It is with </w:t>
      </w:r>
      <w:r>
        <w:rPr>
          <w:rFonts w:ascii="Palatino Linotype" w:hAnsi="Palatino Linotype"/>
          <w:lang w:val="en-GB"/>
        </w:rPr>
        <w:t>a</w:t>
      </w:r>
      <w:r w:rsidRPr="00F61EB0">
        <w:rPr>
          <w:rFonts w:ascii="Palatino Linotype" w:hAnsi="Palatino Linotype"/>
          <w:lang w:val="en-GB"/>
        </w:rPr>
        <w:t xml:space="preserve">l-Bustani and other Syrian Protestants, but not the ABCFM missionaries, that a concept, similar to Linda Kerber’s ‘Republican Motherhood’, can be found. Linda Kerber, ‘The Republican Mother: Women and the Enlightenment-An American Perspective’, </w:t>
      </w:r>
      <w:r w:rsidRPr="00F61EB0">
        <w:rPr>
          <w:rFonts w:ascii="Palatino Linotype" w:hAnsi="Palatino Linotype"/>
          <w:i/>
          <w:lang w:val="en-GB"/>
        </w:rPr>
        <w:t>American Quarterly</w:t>
      </w:r>
      <w:r w:rsidRPr="00F61EB0">
        <w:rPr>
          <w:rFonts w:ascii="Palatino Linotype" w:hAnsi="Palatino Linotype"/>
          <w:lang w:val="en-GB"/>
        </w:rPr>
        <w:t>, 28:2 (1976): 199-205. Compare with Barbara A. Reeves-Ellington, ‘Zornitsa: The Protestant Press and the Language of Moral Reform in Bulgarian Nationalism, 1864-1876’, presented at: Middle East Studies Association (of North America) Annual Conference (Boston. 19 November 2006).</w:t>
      </w:r>
    </w:p>
  </w:footnote>
  <w:footnote w:id="10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Al-Bustani in Jessup, </w:t>
      </w:r>
      <w:r w:rsidRPr="00F61EB0">
        <w:rPr>
          <w:rFonts w:ascii="Palatino Linotype" w:hAnsi="Palatino Linotype"/>
          <w:i/>
          <w:lang w:val="en-GB"/>
        </w:rPr>
        <w:t>WA</w:t>
      </w:r>
      <w:r w:rsidRPr="00F61EB0">
        <w:rPr>
          <w:rFonts w:ascii="Palatino Linotype" w:hAnsi="Palatino Linotype"/>
          <w:lang w:val="en-GB"/>
        </w:rPr>
        <w:t>: 162.</w:t>
      </w:r>
    </w:p>
  </w:footnote>
  <w:footnote w:id="10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Henrietta Smith, ‘Letter to Husband’ (n.s., 20 May [1856]): YDS: ES Box 2: Folder 1. </w:t>
      </w:r>
    </w:p>
  </w:footnote>
  <w:footnote w:id="10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(1826): 215; Hooker, </w:t>
      </w:r>
      <w:r w:rsidRPr="00F61EB0">
        <w:rPr>
          <w:rFonts w:ascii="Palatino Linotype" w:hAnsi="Palatino Linotype"/>
          <w:i/>
          <w:lang w:val="en-GB"/>
        </w:rPr>
        <w:t>MSLS</w:t>
      </w:r>
      <w:r w:rsidRPr="00F61EB0">
        <w:rPr>
          <w:rFonts w:ascii="Palatino Linotype" w:hAnsi="Palatino Linotype"/>
          <w:lang w:val="en-GB"/>
        </w:rPr>
        <w:t>: 223.</w:t>
      </w:r>
    </w:p>
  </w:footnote>
  <w:footnote w:id="10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Al-Bustani in Jessup, </w:t>
      </w:r>
      <w:r w:rsidRPr="00F61EB0">
        <w:rPr>
          <w:rFonts w:ascii="Palatino Linotype" w:hAnsi="Palatino Linotype"/>
          <w:i/>
          <w:lang w:val="en-GB"/>
        </w:rPr>
        <w:t>WA</w:t>
      </w:r>
      <w:r w:rsidRPr="00F61EB0">
        <w:rPr>
          <w:rFonts w:ascii="Palatino Linotype" w:hAnsi="Palatino Linotype"/>
          <w:lang w:val="en-GB"/>
        </w:rPr>
        <w:t xml:space="preserve">: 160; Richard A. Meckel, ‘Educating a Ministry of Mothers: Evangelical Maternal Associations, 1815-1860’, </w:t>
      </w:r>
      <w:r w:rsidRPr="00F61EB0">
        <w:rPr>
          <w:rFonts w:ascii="Palatino Linotype" w:hAnsi="Palatino Linotype"/>
          <w:i/>
          <w:lang w:val="en-GB"/>
        </w:rPr>
        <w:t>Journal of the Early Republic</w:t>
      </w:r>
      <w:r w:rsidRPr="00F61EB0">
        <w:rPr>
          <w:rFonts w:ascii="Palatino Linotype" w:hAnsi="Palatino Linotype"/>
          <w:lang w:val="en-GB"/>
        </w:rPr>
        <w:t>, 2: 4 (1982): 413-415.</w:t>
      </w:r>
    </w:p>
  </w:footnote>
  <w:footnote w:id="10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Kaplan, ‘Manifest Domesticity’: 581- 606; Isabell Lehuu, ‘Sentimental Figures: Reading </w:t>
      </w:r>
      <w:r w:rsidRPr="00F61EB0">
        <w:rPr>
          <w:rFonts w:ascii="Palatino Linotype" w:hAnsi="Palatino Linotype"/>
          <w:i/>
          <w:lang w:val="en-GB"/>
        </w:rPr>
        <w:t>Godey’s Lady’s Book</w:t>
      </w:r>
      <w:r w:rsidRPr="00F61EB0">
        <w:rPr>
          <w:rFonts w:ascii="Palatino Linotype" w:hAnsi="Palatino Linotype"/>
          <w:lang w:val="en-GB"/>
        </w:rPr>
        <w:t xml:space="preserve"> in Antebellum America’, in: S. Samuels, (ed.), </w:t>
      </w:r>
      <w:r w:rsidRPr="00F61EB0">
        <w:rPr>
          <w:rFonts w:ascii="Palatino Linotype" w:hAnsi="Palatino Linotype"/>
          <w:i/>
          <w:lang w:val="en-GB"/>
        </w:rPr>
        <w:t>The Culture of Sentiment: Race, Gender, and Sentimentality in Nineteenth-Century America</w:t>
      </w:r>
      <w:r w:rsidRPr="00F61EB0">
        <w:rPr>
          <w:rFonts w:ascii="Palatino Linotype" w:hAnsi="Palatino Linotype"/>
          <w:lang w:val="en-GB"/>
        </w:rPr>
        <w:t xml:space="preserve"> (New York and Oxford: Oxford University Press, 1992): 73-91; Meckel, ‘Educating a Ministry of Mothers’: 403-423. George Chasseaud noted that Isabella Scott read the </w:t>
      </w:r>
      <w:r w:rsidRPr="00F61EB0">
        <w:rPr>
          <w:rFonts w:ascii="Palatino Linotype" w:hAnsi="Palatino Linotype"/>
          <w:i/>
          <w:lang w:val="en-GB"/>
        </w:rPr>
        <w:t>Ladies’ Newspaper</w:t>
      </w:r>
      <w:r w:rsidRPr="00F61EB0">
        <w:rPr>
          <w:rFonts w:ascii="Palatino Linotype" w:hAnsi="Palatino Linotype"/>
          <w:lang w:val="en-GB"/>
        </w:rPr>
        <w:t xml:space="preserve"> while living in Syria, which may have been a British publication. Chasseaud, </w:t>
      </w:r>
      <w:r w:rsidRPr="00F61EB0">
        <w:rPr>
          <w:rFonts w:ascii="Palatino Linotype" w:hAnsi="Palatino Linotype"/>
          <w:i/>
          <w:lang w:val="en-GB"/>
        </w:rPr>
        <w:t>The Druses of the Lebanon</w:t>
      </w:r>
      <w:r w:rsidRPr="00F61EB0">
        <w:rPr>
          <w:rFonts w:ascii="Palatino Linotype" w:hAnsi="Palatino Linotype"/>
          <w:lang w:val="en-GB"/>
        </w:rPr>
        <w:t>: 135.</w:t>
      </w:r>
    </w:p>
  </w:footnote>
  <w:footnote w:id="11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Sister’ (Beirut, 11 May 1847).</w:t>
      </w:r>
    </w:p>
  </w:footnote>
  <w:footnote w:id="11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DeForest, ‘Letter to Mrs. Butler’ (Bhamdoun, 11 August 1847); Henrietta Smith, ‘Letter to Sister’ (n.s., 12 July 1847): YDS: ES Box 1 Folder 17. </w:t>
      </w:r>
    </w:p>
  </w:footnote>
  <w:footnote w:id="11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Husband’ (Bhamdoun, 24 July 1856); Smith, ‘Letter to Sisters’ (Beirut, 16 May 1850).</w:t>
      </w:r>
    </w:p>
  </w:footnote>
  <w:footnote w:id="11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Mother’ (Beirut, 10 April 1848); DeForest, ‘Letter to Eli Smith’ (n.s., July 1845); DeForest, ‘Letter to E. Smith’ (n.s., 12 December 1845).</w:t>
      </w:r>
    </w:p>
  </w:footnote>
  <w:footnote w:id="11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Mother’ (Beirut, 10 April 1848).</w:t>
      </w:r>
    </w:p>
  </w:footnote>
  <w:footnote w:id="11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Catherine DeForest, ‘Letter to E. Smith’ (Bhamdoun, 11 August 1846): HHL: ABC 60 (17).</w:t>
      </w:r>
    </w:p>
  </w:footnote>
  <w:footnote w:id="11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Charles Henry Smith, ‘Letter to Papa’ (Beirut, 19 May 1856): YDS: ES Box 1: Folder 12. </w:t>
      </w:r>
    </w:p>
  </w:footnote>
  <w:footnote w:id="11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DeForest, ‘Letter to Eli Smith’ (n.s., July 1845).</w:t>
      </w:r>
    </w:p>
  </w:footnote>
  <w:footnote w:id="11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Catherine DeForest, ‘Letter to Eli Smith’ (Hasbaya, May 1845): HHL: ABC 60 (17). </w:t>
      </w:r>
    </w:p>
  </w:footnote>
  <w:footnote w:id="11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Husband’ (n.s., 20 May [1856]).</w:t>
      </w:r>
    </w:p>
  </w:footnote>
  <w:footnote w:id="12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Brother’ (Beirut, 27 November [1848]).</w:t>
      </w:r>
    </w:p>
  </w:footnote>
  <w:footnote w:id="12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Stockdale, </w:t>
      </w:r>
      <w:r w:rsidRPr="00F61EB0">
        <w:rPr>
          <w:rFonts w:ascii="Palatino Linotype" w:hAnsi="Palatino Linotype"/>
          <w:i/>
          <w:lang w:val="en-GB"/>
        </w:rPr>
        <w:t>Colonial Encounters</w:t>
      </w:r>
      <w:r w:rsidRPr="00F61EB0">
        <w:rPr>
          <w:rFonts w:ascii="Palatino Linotype" w:hAnsi="Palatino Linotype"/>
          <w:lang w:val="en-GB"/>
        </w:rPr>
        <w:t xml:space="preserve">: 139-145. For a later example see Edward Said, </w:t>
      </w:r>
      <w:r w:rsidRPr="00F61EB0">
        <w:rPr>
          <w:rFonts w:ascii="Palatino Linotype" w:hAnsi="Palatino Linotype"/>
          <w:i/>
          <w:lang w:val="en-GB"/>
        </w:rPr>
        <w:t>Out of Place: A Memoir</w:t>
      </w:r>
      <w:r w:rsidRPr="00F61EB0">
        <w:rPr>
          <w:rFonts w:ascii="Palatino Linotype" w:hAnsi="Palatino Linotype"/>
          <w:lang w:val="en-GB"/>
        </w:rPr>
        <w:t xml:space="preserve"> (London: Granta Books, 1999): 208-209.</w:t>
      </w:r>
    </w:p>
  </w:footnote>
  <w:footnote w:id="12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(1845): 42.</w:t>
      </w:r>
    </w:p>
  </w:footnote>
  <w:footnote w:id="12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(1852): 146.</w:t>
      </w:r>
    </w:p>
  </w:footnote>
  <w:footnote w:id="12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(1849): 324-5; ABCFM, </w:t>
      </w:r>
      <w:r w:rsidRPr="00F61EB0">
        <w:rPr>
          <w:rFonts w:ascii="Palatino Linotype" w:hAnsi="Palatino Linotype"/>
          <w:i/>
          <w:lang w:val="en-GB"/>
        </w:rPr>
        <w:t>Annual Report</w:t>
      </w:r>
      <w:r w:rsidRPr="00F61EB0">
        <w:rPr>
          <w:rFonts w:ascii="Palatino Linotype" w:hAnsi="Palatino Linotype"/>
          <w:lang w:val="en-GB"/>
        </w:rPr>
        <w:t xml:space="preserve"> (Syria, 1854).</w:t>
      </w:r>
    </w:p>
  </w:footnote>
  <w:footnote w:id="12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For the American and Egyptian contexts, see Scholten, M. </w:t>
      </w:r>
      <w:r w:rsidRPr="00F61EB0">
        <w:rPr>
          <w:rFonts w:ascii="Palatino Linotype" w:hAnsi="Palatino Linotype"/>
          <w:i/>
          <w:lang w:val="en-GB"/>
        </w:rPr>
        <w:t>Childbearing in American Society</w:t>
      </w:r>
      <w:r w:rsidRPr="00F61EB0">
        <w:rPr>
          <w:rFonts w:ascii="Palatino Linotype" w:hAnsi="Palatino Linotype"/>
          <w:lang w:val="en-GB"/>
        </w:rPr>
        <w:t xml:space="preserve">: 98-107 and Ahmed, </w:t>
      </w:r>
      <w:r w:rsidRPr="00F61EB0">
        <w:rPr>
          <w:rFonts w:ascii="Palatino Linotype" w:hAnsi="Palatino Linotype"/>
          <w:i/>
          <w:lang w:val="en-GB"/>
        </w:rPr>
        <w:t>Women and Gender in Islam</w:t>
      </w:r>
      <w:r w:rsidRPr="00F61EB0">
        <w:rPr>
          <w:rFonts w:ascii="Palatino Linotype" w:hAnsi="Palatino Linotype"/>
          <w:lang w:val="en-GB"/>
        </w:rPr>
        <w:t xml:space="preserve">: 134-135, 153, Fahmy, ‘Women, Medicine, and Power in Nineteenth-Century Egypt’: 35-71, respectively. </w:t>
      </w:r>
    </w:p>
  </w:footnote>
  <w:footnote w:id="12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Parents’ (Beirut, 30 May 1842); Smith, ‘Letter to My Dear Parents [Mr. and Mrs. Lanman]’ (Beirut, 7 June 1842); DeForest, ‘Letter to Mrs. Butler’ (Bhamdoun, 11 August 1847; Smith, ‘Letter to Mother’ (Bhamdoun, 31 August 1849). Through her discussion of Loanza Benton’s ‘self-delivery’, which was assisted by Elizabeth Hurter, Hetty Smith displayed her fear and lack of knowledge on how to deliver a baby.</w:t>
      </w:r>
      <w:r w:rsidRPr="00F61EB0">
        <w:rPr>
          <w:rFonts w:ascii="Palatino Linotype" w:eastAsia="Calibri" w:hAnsi="Palatino Linotype"/>
          <w:lang w:val="en-GB"/>
        </w:rPr>
        <w:t xml:space="preserve"> </w:t>
      </w:r>
      <w:r w:rsidRPr="00F61EB0">
        <w:rPr>
          <w:rFonts w:ascii="Palatino Linotype" w:hAnsi="Palatino Linotype"/>
          <w:lang w:val="en-GB"/>
        </w:rPr>
        <w:t>Smith, ‘Letter to Sister’ (Bhamdoun, 4 September 1852).</w:t>
      </w:r>
    </w:p>
  </w:footnote>
  <w:footnote w:id="12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Wolcott ‘Letter to Sir’ (Beirut, 30 October 1841); Wolcott, ‘Confidential: Letter to Sir’ (Beirut, 8 November 1841); Smith, ‘Letter to Parents’ (Beirut, 30 May 1842); Smith, ‘Letter to My Dear Parents [Mr. and Mrs. Lanman]’ (Beirut, 7 June 1842).</w:t>
      </w:r>
    </w:p>
  </w:footnote>
  <w:footnote w:id="12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Wolcott, ‘Confidential: Letter to Sir’ (Beirut, 8 November 1841). </w:t>
      </w:r>
    </w:p>
  </w:footnote>
  <w:footnote w:id="12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Mother’ (Beirut, 10 April 1848); Smith, ‘Letter to Mother’ (Bhamdoun, 27 October 1848).</w:t>
      </w:r>
    </w:p>
  </w:footnote>
  <w:footnote w:id="13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Mother’ (Beirut, 11 March 1848).</w:t>
      </w:r>
    </w:p>
  </w:footnote>
  <w:footnote w:id="13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Sister’ (Bhamdoun, 4 September 1852).</w:t>
      </w:r>
    </w:p>
  </w:footnote>
  <w:footnote w:id="13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DeForest, ‘Letter to Mrs. Butler’ (Bhamdoun, 11 August 1847).</w:t>
      </w:r>
    </w:p>
  </w:footnote>
  <w:footnote w:id="13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Catherine DeForest, ‘Letter to Sister [Hetty Smith]’ (n.s., August 1853): HHL: ABC 60 (17); DeForest, ‘Letter to Brother [Eli Smith]’ (Abeih, 30 August [1853]).</w:t>
      </w:r>
    </w:p>
  </w:footnote>
  <w:footnote w:id="134">
    <w:p w:rsidR="00665C5A" w:rsidRPr="00F61EB0" w:rsidRDefault="00665C5A" w:rsidP="001761FF">
      <w:pPr>
        <w:pStyle w:val="BodyText"/>
        <w:ind w:left="86" w:hanging="86"/>
        <w:jc w:val="both"/>
        <w:rPr>
          <w:rFonts w:ascii="Palatino Linotype" w:hAnsi="Palatino Linotype"/>
          <w:sz w:val="20"/>
          <w:szCs w:val="20"/>
          <w:lang w:val="en-GB"/>
        </w:rPr>
      </w:pPr>
      <w:r w:rsidRPr="00F61EB0">
        <w:rPr>
          <w:rStyle w:val="FootnoteReference"/>
          <w:rFonts w:ascii="Palatino Linotype" w:hAnsi="Palatino Linotype"/>
          <w:sz w:val="20"/>
          <w:szCs w:val="20"/>
          <w:lang w:val="en-GB"/>
        </w:rPr>
        <w:footnoteRef/>
      </w:r>
      <w:r w:rsidRPr="00F61EB0">
        <w:rPr>
          <w:rFonts w:ascii="Palatino Linotype" w:hAnsi="Palatino Linotype"/>
          <w:sz w:val="20"/>
          <w:szCs w:val="20"/>
          <w:lang w:val="en-GB"/>
        </w:rPr>
        <w:t xml:space="preserve"> Henrietta Smith, ‘Letter to Sister’ (Beirut, February [1856]): YDS: ES Box 1: Folder 23; DeForest, ‘Letter to E. Smith’ (n.s., 12 December 1845).</w:t>
      </w:r>
    </w:p>
  </w:footnote>
  <w:footnote w:id="135">
    <w:p w:rsidR="00665C5A" w:rsidRPr="00F61EB0" w:rsidRDefault="00665C5A" w:rsidP="001761FF">
      <w:pPr>
        <w:pStyle w:val="FootnoteText"/>
        <w:ind w:left="86" w:hanging="86"/>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Beecher, </w:t>
      </w:r>
      <w:r w:rsidRPr="00F61EB0">
        <w:rPr>
          <w:rFonts w:ascii="Palatino Linotype" w:hAnsi="Palatino Linotype"/>
          <w:i/>
          <w:lang w:val="en-GB"/>
        </w:rPr>
        <w:t>Treatise on Domestic Economy</w:t>
      </w:r>
      <w:r w:rsidRPr="00F61EB0">
        <w:rPr>
          <w:rFonts w:ascii="Palatino Linotype" w:hAnsi="Palatino Linotype"/>
          <w:lang w:val="en-GB"/>
        </w:rPr>
        <w:t>: 197.</w:t>
      </w:r>
    </w:p>
  </w:footnote>
  <w:footnote w:id="13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Husband’ (Bhamdoun, 24 July 1856); Smith, ‘Letter to Sisters’ (Beirut, 16 May 1850).</w:t>
      </w:r>
    </w:p>
  </w:footnote>
  <w:footnote w:id="13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William Thomson, ‘Medicines Required for the Ensuing Year at the Beyroot Station’ (Beirut, 11 November 1835): ABCFM microfilm Unit 5: Near East: Reel 537: 111. ‘Blue Pill’ was a popular treatment for ‘hypochondriasis’, or a neurological disease similar to depression. The ingredients of Blue Pill ‘include mercury, liquorice root, rose-water, honey and sugar, and confection of dead rose petals.’ Norbert Hirschhorn, Robert G. Feldman and Ian Greaves, ‘Abraham Lincoln’s Blue Pills: Did Our 16</w:t>
      </w:r>
      <w:r w:rsidRPr="00F61EB0">
        <w:rPr>
          <w:rFonts w:ascii="Palatino Linotype" w:hAnsi="Palatino Linotype"/>
          <w:vertAlign w:val="superscript"/>
          <w:lang w:val="en-GB"/>
        </w:rPr>
        <w:t>th</w:t>
      </w:r>
      <w:r w:rsidRPr="00F61EB0">
        <w:rPr>
          <w:rFonts w:ascii="Palatino Linotype" w:hAnsi="Palatino Linotype"/>
          <w:lang w:val="en-GB"/>
        </w:rPr>
        <w:t xml:space="preserve"> President Suffer from Mercury Poising?’ </w:t>
      </w:r>
      <w:r w:rsidRPr="00F61EB0">
        <w:rPr>
          <w:rFonts w:ascii="Palatino Linotype" w:hAnsi="Palatino Linotype"/>
          <w:i/>
          <w:lang w:val="en-GB"/>
        </w:rPr>
        <w:t>Perspectives in Biology and Medicine</w:t>
      </w:r>
      <w:r w:rsidRPr="00F61EB0">
        <w:rPr>
          <w:rFonts w:ascii="Palatino Linotype" w:hAnsi="Palatino Linotype"/>
          <w:lang w:val="en-GB"/>
        </w:rPr>
        <w:t>, 44:3 (2001): 315-332.</w:t>
      </w:r>
    </w:p>
  </w:footnote>
  <w:footnote w:id="13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Sisters’ (Beirut, 16 May 1850).</w:t>
      </w:r>
    </w:p>
  </w:footnote>
  <w:footnote w:id="13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Beecher, </w:t>
      </w:r>
      <w:r w:rsidRPr="00F61EB0">
        <w:rPr>
          <w:rFonts w:ascii="Palatino Linotype" w:hAnsi="Palatino Linotype"/>
          <w:i/>
          <w:lang w:val="en-GB"/>
        </w:rPr>
        <w:t>Miss Beecher’s Domestic Receipt Book</w:t>
      </w:r>
      <w:r w:rsidRPr="00F61EB0">
        <w:rPr>
          <w:rFonts w:ascii="Palatino Linotype" w:hAnsi="Palatino Linotype"/>
          <w:lang w:val="en-GB"/>
        </w:rPr>
        <w:t>: 212.</w:t>
      </w:r>
    </w:p>
  </w:footnote>
  <w:footnote w:id="140">
    <w:p w:rsidR="00665C5A" w:rsidRPr="00F61EB0" w:rsidRDefault="00665C5A" w:rsidP="001761FF">
      <w:pPr>
        <w:pStyle w:val="FootnoteText"/>
        <w:ind w:left="90" w:hanging="90"/>
        <w:jc w:val="both"/>
        <w:rPr>
          <w:rFonts w:ascii="Palatino Linotype" w:hAnsi="Palatino Linotype"/>
          <w:i/>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Butrus al-Bustani in Jessup, </w:t>
      </w:r>
      <w:r w:rsidRPr="00F61EB0">
        <w:rPr>
          <w:rFonts w:ascii="Palatino Linotype" w:hAnsi="Palatino Linotype"/>
          <w:i/>
          <w:lang w:val="en-GB"/>
        </w:rPr>
        <w:t>WA</w:t>
      </w:r>
      <w:r w:rsidRPr="00F61EB0">
        <w:rPr>
          <w:rFonts w:ascii="Palatino Linotype" w:hAnsi="Palatino Linotype"/>
          <w:lang w:val="en-GB"/>
        </w:rPr>
        <w:t>: 161.</w:t>
      </w:r>
    </w:p>
  </w:footnote>
  <w:footnote w:id="14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(1837): 261; Butrus al-Bustani in Jessup, </w:t>
      </w:r>
      <w:r w:rsidRPr="00F61EB0">
        <w:rPr>
          <w:rFonts w:ascii="Palatino Linotype" w:hAnsi="Palatino Linotype"/>
          <w:i/>
          <w:lang w:val="en-GB"/>
        </w:rPr>
        <w:t>WA</w:t>
      </w:r>
      <w:r w:rsidRPr="00F61EB0">
        <w:rPr>
          <w:rFonts w:ascii="Palatino Linotype" w:hAnsi="Palatino Linotype"/>
          <w:lang w:val="en-GB"/>
        </w:rPr>
        <w:t xml:space="preserve">: 159. Some of these charms were lockets, where small pieces of Scripture or the Quran were enclosed, while others were pendants with engraved versed. Paton, </w:t>
      </w:r>
      <w:r w:rsidRPr="00F61EB0">
        <w:rPr>
          <w:rFonts w:ascii="Palatino Linotype" w:hAnsi="Palatino Linotype"/>
          <w:i/>
          <w:lang w:val="en-GB"/>
        </w:rPr>
        <w:t>The Modern Syrians</w:t>
      </w:r>
      <w:r w:rsidRPr="00F61EB0">
        <w:rPr>
          <w:rFonts w:ascii="Palatino Linotype" w:hAnsi="Palatino Linotype"/>
          <w:lang w:val="en-GB"/>
        </w:rPr>
        <w:t>: 54.</w:t>
      </w:r>
    </w:p>
  </w:footnote>
  <w:footnote w:id="14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Rebecca Hebard in Williams, ‘Rebecca Williams Hebard of Lebanon, Connecticut’: 15.</w:t>
      </w:r>
    </w:p>
  </w:footnote>
  <w:footnote w:id="14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Abby Bliss in Bliss, </w:t>
      </w:r>
      <w:r w:rsidRPr="00F61EB0">
        <w:rPr>
          <w:rFonts w:ascii="Palatino Linotype" w:hAnsi="Palatino Linotype"/>
          <w:i/>
          <w:lang w:val="en-GB"/>
        </w:rPr>
        <w:t>RDS</w:t>
      </w:r>
      <w:r w:rsidRPr="00F61EB0">
        <w:rPr>
          <w:rFonts w:ascii="Palatino Linotype" w:hAnsi="Palatino Linotype"/>
          <w:lang w:val="en-GB"/>
        </w:rPr>
        <w:t>: 124.</w:t>
      </w:r>
    </w:p>
  </w:footnote>
  <w:footnote w:id="14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Abby Bliss in Bliss, </w:t>
      </w:r>
      <w:r w:rsidRPr="00F61EB0">
        <w:rPr>
          <w:rFonts w:ascii="Palatino Linotype" w:hAnsi="Palatino Linotype"/>
          <w:i/>
          <w:lang w:val="en-GB"/>
        </w:rPr>
        <w:t>RDS</w:t>
      </w:r>
      <w:r w:rsidRPr="00F61EB0">
        <w:rPr>
          <w:rFonts w:ascii="Palatino Linotype" w:hAnsi="Palatino Linotype"/>
          <w:lang w:val="en-GB"/>
        </w:rPr>
        <w:t xml:space="preserve">: 124; Jessup, </w:t>
      </w:r>
      <w:r w:rsidRPr="00F61EB0">
        <w:rPr>
          <w:rFonts w:ascii="Palatino Linotype" w:hAnsi="Palatino Linotype"/>
          <w:i/>
          <w:lang w:val="en-GB"/>
        </w:rPr>
        <w:t>Fifty-Three Years in Syria</w:t>
      </w:r>
      <w:r w:rsidRPr="00F61EB0">
        <w:rPr>
          <w:rFonts w:ascii="Palatino Linotype" w:hAnsi="Palatino Linotype"/>
          <w:lang w:val="en-GB"/>
        </w:rPr>
        <w:t xml:space="preserve">: 121; Beecher, </w:t>
      </w:r>
      <w:r w:rsidRPr="00F61EB0">
        <w:rPr>
          <w:rFonts w:ascii="Palatino Linotype" w:hAnsi="Palatino Linotype"/>
          <w:i/>
          <w:lang w:val="en-GB"/>
        </w:rPr>
        <w:t>Miss Beecher’s Domestic Receipt Book</w:t>
      </w:r>
      <w:r w:rsidRPr="00F61EB0">
        <w:rPr>
          <w:rFonts w:ascii="Palatino Linotype" w:hAnsi="Palatino Linotype"/>
          <w:lang w:val="en-GB"/>
        </w:rPr>
        <w:t>: 196.</w:t>
      </w:r>
    </w:p>
  </w:footnote>
  <w:footnote w:id="14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Henry A. DeForest, ‘Report of the Beirut Station for the Year 1850’ (n.s., 1850): ABCFM microfilm Unit 5: Near East: Reel 542: 536. </w:t>
      </w:r>
    </w:p>
  </w:footnote>
  <w:footnote w:id="14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rPr>
        <w:footnoteRef/>
      </w:r>
      <w:r w:rsidRPr="00F61EB0">
        <w:rPr>
          <w:rFonts w:ascii="Palatino Linotype" w:hAnsi="Palatino Linotype"/>
        </w:rPr>
        <w:t xml:space="preserve"> Similar arguments were found in articles translated into Arabic regarding cleanliness in contemporary Egypt. </w:t>
      </w:r>
      <w:r w:rsidRPr="00F61EB0">
        <w:rPr>
          <w:rFonts w:ascii="Palatino Linotype" w:hAnsi="Palatino Linotype"/>
          <w:lang w:val="en-GB"/>
        </w:rPr>
        <w:t xml:space="preserve">Lisa Pollard, </w:t>
      </w:r>
      <w:r w:rsidRPr="00F61EB0">
        <w:rPr>
          <w:rFonts w:ascii="Palatino Linotype" w:hAnsi="Palatino Linotype"/>
          <w:i/>
          <w:lang w:val="en-GB"/>
        </w:rPr>
        <w:t>Nurturing the Nation: The Family Politics of Modernizing, Colonizing, and Liberating Egypt, 1805-1923</w:t>
      </w:r>
      <w:r w:rsidRPr="00F61EB0">
        <w:rPr>
          <w:rFonts w:ascii="Palatino Linotype" w:hAnsi="Palatino Linotype"/>
          <w:lang w:val="en-GB"/>
        </w:rPr>
        <w:t>, (Berkley, Los Angeles and London: University of California Press, 2005): 26-28.</w:t>
      </w:r>
    </w:p>
  </w:footnote>
  <w:footnote w:id="14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Sister’ (Beirut, 11 May 1847); DeForest, Letter to R. Anderson’ (Abeih, 15 August 1850): 138. </w:t>
      </w:r>
    </w:p>
  </w:footnote>
  <w:footnote w:id="14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Sister’ (Beirut, 20 February 1847).</w:t>
      </w:r>
    </w:p>
  </w:footnote>
  <w:footnote w:id="14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Sister’ (Beirut, 20 February 1847).</w:t>
      </w:r>
    </w:p>
  </w:footnote>
  <w:footnote w:id="15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Sister’ (n.s., 10 March 1847); Smith, ‘Letter to Rebecca Williams’ (Beirut, 13 May 1834).</w:t>
      </w:r>
    </w:p>
  </w:footnote>
  <w:footnote w:id="15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Sarah Smith quoted in Jessup, </w:t>
      </w:r>
      <w:r w:rsidRPr="00F61EB0">
        <w:rPr>
          <w:rFonts w:ascii="Palatino Linotype" w:hAnsi="Palatino Linotype"/>
          <w:i/>
          <w:lang w:val="en-GB"/>
        </w:rPr>
        <w:t>WA</w:t>
      </w:r>
      <w:r w:rsidRPr="00F61EB0">
        <w:rPr>
          <w:rFonts w:ascii="Palatino Linotype" w:hAnsi="Palatino Linotype"/>
          <w:lang w:val="en-GB"/>
        </w:rPr>
        <w:t xml:space="preserve">: 129; </w:t>
      </w:r>
      <w:r w:rsidRPr="00F61EB0">
        <w:rPr>
          <w:rFonts w:ascii="Palatino Linotype" w:hAnsi="Palatino Linotype"/>
          <w:i/>
          <w:lang w:val="en-GB"/>
        </w:rPr>
        <w:t>MH</w:t>
      </w:r>
      <w:r w:rsidRPr="00F61EB0">
        <w:rPr>
          <w:rFonts w:ascii="Palatino Linotype" w:hAnsi="Palatino Linotype"/>
          <w:lang w:val="en-GB"/>
        </w:rPr>
        <w:t xml:space="preserve"> (1834): 128.</w:t>
      </w:r>
    </w:p>
  </w:footnote>
  <w:footnote w:id="15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Sister’ (Bhamdoun, 9 September 1847).</w:t>
      </w:r>
    </w:p>
  </w:footnote>
  <w:footnote w:id="15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Abby Bliss in Bliss, </w:t>
      </w:r>
      <w:r w:rsidRPr="00F61EB0">
        <w:rPr>
          <w:rFonts w:ascii="Palatino Linotype" w:hAnsi="Palatino Linotype"/>
          <w:i/>
          <w:lang w:val="en-GB"/>
        </w:rPr>
        <w:t>RDS</w:t>
      </w:r>
      <w:r w:rsidRPr="00F61EB0">
        <w:rPr>
          <w:rFonts w:ascii="Palatino Linotype" w:hAnsi="Palatino Linotype"/>
          <w:lang w:val="en-GB"/>
        </w:rPr>
        <w:t>: 124. Presenting a different perspective, Klink describes the process of daily massaging of an infant’s head and body in order to ‘strengthen the baby’s muscles, and to improver her overall posture and supplements’. Klink, ‘Beyond the Tantur’: 180-181.</w:t>
      </w:r>
    </w:p>
  </w:footnote>
  <w:footnote w:id="15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Abby Bliss in Bliss, </w:t>
      </w:r>
      <w:r w:rsidRPr="00F61EB0">
        <w:rPr>
          <w:rFonts w:ascii="Palatino Linotype" w:hAnsi="Palatino Linotype"/>
          <w:i/>
          <w:lang w:val="en-GB"/>
        </w:rPr>
        <w:t>RD</w:t>
      </w:r>
      <w:r w:rsidRPr="00F61EB0">
        <w:rPr>
          <w:rFonts w:ascii="Palatino Linotype" w:hAnsi="Palatino Linotype"/>
          <w:lang w:val="en-GB"/>
        </w:rPr>
        <w:t>S: 123-124.</w:t>
      </w:r>
    </w:p>
  </w:footnote>
  <w:footnote w:id="15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Scholten, </w:t>
      </w:r>
      <w:r w:rsidRPr="00F61EB0">
        <w:rPr>
          <w:rFonts w:ascii="Palatino Linotype" w:hAnsi="Palatino Linotype"/>
          <w:i/>
          <w:lang w:val="en-GB"/>
        </w:rPr>
        <w:t>Childbearing in American Society</w:t>
      </w:r>
      <w:r w:rsidRPr="00F61EB0">
        <w:rPr>
          <w:rFonts w:ascii="Palatino Linotype" w:hAnsi="Palatino Linotype"/>
          <w:lang w:val="en-GB"/>
        </w:rPr>
        <w:t>: 76.</w:t>
      </w:r>
    </w:p>
  </w:footnote>
  <w:footnote w:id="15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Henrietta Smith, ‘Letter to Sister’ (Beirut, 25 January 1857): YDS: ES Box 1: Folder 24. Eli’s direction recalls the second story in John Bunyan’s </w:t>
      </w:r>
      <w:r w:rsidRPr="00F61EB0">
        <w:rPr>
          <w:rFonts w:ascii="Palatino Linotype" w:hAnsi="Palatino Linotype"/>
          <w:i/>
          <w:lang w:val="en-GB"/>
        </w:rPr>
        <w:t>Pilgrim’s Progress</w:t>
      </w:r>
      <w:r w:rsidRPr="00F61EB0">
        <w:rPr>
          <w:rFonts w:ascii="Palatino Linotype" w:hAnsi="Palatino Linotype"/>
          <w:lang w:val="en-GB"/>
        </w:rPr>
        <w:t xml:space="preserve">, when Christiana follows her husband’s lead and goes on her own pilgrimage, but with their four sons. In the end, all survive the journey, with Christiana passing through the River and her children remaining behind ‘for the increase of the Church’, with the allusion to their eventual reunion with their parents. Bunyan, </w:t>
      </w:r>
      <w:r w:rsidRPr="00F61EB0">
        <w:rPr>
          <w:rFonts w:ascii="Palatino Linotype" w:hAnsi="Palatino Linotype"/>
          <w:i/>
          <w:lang w:val="en-GB"/>
        </w:rPr>
        <w:t>The Pilgrim’s Progress</w:t>
      </w:r>
      <w:r w:rsidRPr="00F61EB0">
        <w:rPr>
          <w:rFonts w:ascii="Palatino Linotype" w:hAnsi="Palatino Linotype"/>
          <w:lang w:val="en-GB"/>
        </w:rPr>
        <w:t>: 238-239, 377-379, 384.</w:t>
      </w:r>
    </w:p>
  </w:footnote>
  <w:footnote w:id="15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DeForest, ‘Letter to E. Smith’ (n.s., 12 December 1845).</w:t>
      </w:r>
    </w:p>
  </w:footnote>
  <w:footnote w:id="15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ABCFM, </w:t>
      </w:r>
      <w:r w:rsidRPr="00F61EB0">
        <w:rPr>
          <w:rFonts w:ascii="Palatino Linotype" w:hAnsi="Palatino Linotype"/>
          <w:i/>
          <w:lang w:val="en-GB"/>
        </w:rPr>
        <w:t xml:space="preserve">Annual Report </w:t>
      </w:r>
      <w:r w:rsidRPr="00F61EB0">
        <w:rPr>
          <w:rFonts w:ascii="Palatino Linotype" w:hAnsi="Palatino Linotype"/>
          <w:lang w:val="en-GB"/>
        </w:rPr>
        <w:t>(Beirut, 1850).</w:t>
      </w:r>
    </w:p>
  </w:footnote>
  <w:footnote w:id="15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 xml:space="preserve">MH </w:t>
      </w:r>
      <w:r w:rsidRPr="00F61EB0">
        <w:rPr>
          <w:rFonts w:ascii="Palatino Linotype" w:hAnsi="Palatino Linotype"/>
          <w:lang w:val="en-GB"/>
        </w:rPr>
        <w:t>(1836): 93.</w:t>
      </w:r>
    </w:p>
  </w:footnote>
  <w:footnote w:id="16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DeForest, ‘Letter to E. Smith’ (n.s., 12 December 1845); Thomson and Hebard, ‘Report of the Female School for 1838’ (n.s., 1838); Melita Carabet in Jessup, </w:t>
      </w:r>
      <w:r w:rsidRPr="00F61EB0">
        <w:rPr>
          <w:rFonts w:ascii="Palatino Linotype" w:hAnsi="Palatino Linotype"/>
          <w:i/>
          <w:lang w:val="en-GB"/>
        </w:rPr>
        <w:t>WA</w:t>
      </w:r>
      <w:r w:rsidRPr="00F61EB0">
        <w:rPr>
          <w:rFonts w:ascii="Palatino Linotype" w:hAnsi="Palatino Linotype"/>
          <w:lang w:val="en-GB"/>
        </w:rPr>
        <w:t xml:space="preserve">: 65; Scholten, </w:t>
      </w:r>
      <w:r w:rsidRPr="00F61EB0">
        <w:rPr>
          <w:rFonts w:ascii="Palatino Linotype" w:hAnsi="Palatino Linotype"/>
          <w:i/>
          <w:lang w:val="en-GB"/>
        </w:rPr>
        <w:t>Childbearing in American Society</w:t>
      </w:r>
      <w:r w:rsidRPr="00F61EB0">
        <w:rPr>
          <w:rFonts w:ascii="Palatino Linotype" w:hAnsi="Palatino Linotype"/>
          <w:lang w:val="en-GB"/>
        </w:rPr>
        <w:t>: 76-78.</w:t>
      </w:r>
    </w:p>
  </w:footnote>
  <w:footnote w:id="16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Melita Carabet in Jessup,</w:t>
      </w:r>
      <w:r w:rsidRPr="00F61EB0">
        <w:rPr>
          <w:rFonts w:ascii="Palatino Linotype" w:hAnsi="Palatino Linotype"/>
          <w:i/>
          <w:lang w:val="en-GB"/>
        </w:rPr>
        <w:t xml:space="preserve"> WA</w:t>
      </w:r>
      <w:r w:rsidRPr="00F61EB0">
        <w:rPr>
          <w:rFonts w:ascii="Palatino Linotype" w:hAnsi="Palatino Linotype"/>
          <w:lang w:val="en-GB"/>
        </w:rPr>
        <w:t xml:space="preserve">: 66; Sada Barakat in Jessup, </w:t>
      </w:r>
      <w:r w:rsidRPr="00F61EB0">
        <w:rPr>
          <w:rFonts w:ascii="Palatino Linotype" w:hAnsi="Palatino Linotype"/>
          <w:i/>
          <w:lang w:val="en-GB"/>
        </w:rPr>
        <w:t>WA</w:t>
      </w:r>
      <w:r w:rsidRPr="00F61EB0">
        <w:rPr>
          <w:rFonts w:ascii="Palatino Linotype" w:hAnsi="Palatino Linotype"/>
          <w:lang w:val="en-GB"/>
        </w:rPr>
        <w:t xml:space="preserve">: 85; McDannell, </w:t>
      </w:r>
      <w:r w:rsidRPr="00F61EB0">
        <w:rPr>
          <w:rFonts w:ascii="Palatino Linotype" w:hAnsi="Palatino Linotype"/>
          <w:i/>
          <w:lang w:val="en-GB"/>
        </w:rPr>
        <w:t>Material Christianity</w:t>
      </w:r>
      <w:r w:rsidRPr="00F61EB0">
        <w:rPr>
          <w:rFonts w:ascii="Palatino Linotype" w:hAnsi="Palatino Linotype"/>
          <w:lang w:val="en-GB"/>
        </w:rPr>
        <w:t>: 83.</w:t>
      </w:r>
    </w:p>
  </w:footnote>
  <w:footnote w:id="16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McDannell, </w:t>
      </w:r>
      <w:r w:rsidRPr="00F61EB0">
        <w:rPr>
          <w:rFonts w:ascii="Palatino Linotype" w:hAnsi="Palatino Linotype"/>
          <w:i/>
          <w:lang w:val="en-GB"/>
        </w:rPr>
        <w:t>Material Christianity</w:t>
      </w:r>
      <w:r w:rsidRPr="00F61EB0">
        <w:rPr>
          <w:rFonts w:ascii="Palatino Linotype" w:hAnsi="Palatino Linotype"/>
          <w:lang w:val="en-GB"/>
        </w:rPr>
        <w:t>: 82-83.</w:t>
      </w:r>
    </w:p>
  </w:footnote>
  <w:footnote w:id="16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Roberts, ‘Locating Popular Religion’: 241-242.</w:t>
      </w:r>
    </w:p>
  </w:footnote>
  <w:footnote w:id="16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For example see William Jay, </w:t>
      </w:r>
      <w:r w:rsidRPr="00F61EB0">
        <w:rPr>
          <w:rFonts w:ascii="Palatino Linotype" w:hAnsi="Palatino Linotype"/>
          <w:i/>
          <w:lang w:val="en-GB"/>
        </w:rPr>
        <w:t>Prayers for the Use of Families; or, the Domestic Minister’s Assistant</w:t>
      </w:r>
      <w:r w:rsidRPr="00F61EB0">
        <w:rPr>
          <w:rFonts w:ascii="Palatino Linotype" w:hAnsi="Palatino Linotype"/>
          <w:lang w:val="en-GB"/>
        </w:rPr>
        <w:t xml:space="preserve"> (New York: Dodd, Mead &amp; Company, 1834). </w:t>
      </w:r>
    </w:p>
  </w:footnote>
  <w:footnote w:id="16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Rebecca Williams’ (Beirut, 5 August 1835); Smith, ‘Letter’ (Beirut, 18 January 1847); Smith, ‘Letter to Sister’ (Beirut, 16 April 1847).</w:t>
      </w:r>
    </w:p>
  </w:footnote>
  <w:footnote w:id="16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Brother’ (Bhamdoun, 14 August 1834); DeForest, ‘Journal’ (n.s., 1842); ABCFM, </w:t>
      </w:r>
      <w:r w:rsidRPr="00F61EB0">
        <w:rPr>
          <w:rFonts w:ascii="Palatino Linotype" w:hAnsi="Palatino Linotype"/>
          <w:i/>
          <w:lang w:val="en-GB"/>
        </w:rPr>
        <w:t>Annual Report</w:t>
      </w:r>
      <w:r w:rsidRPr="00F61EB0">
        <w:rPr>
          <w:rFonts w:ascii="Palatino Linotype" w:hAnsi="Palatino Linotype"/>
          <w:lang w:val="en-GB"/>
        </w:rPr>
        <w:t xml:space="preserve"> (Beirut, 1845); Henrietta Smith, ‘Letter’ (Beirut, 11 January 1847): YDS: ES Box 1: Folder 16; McDannell, </w:t>
      </w:r>
      <w:r w:rsidRPr="00F61EB0">
        <w:rPr>
          <w:rFonts w:ascii="Palatino Linotype" w:hAnsi="Palatino Linotype"/>
          <w:i/>
          <w:lang w:val="en-GB"/>
        </w:rPr>
        <w:t>Material Christianity</w:t>
      </w:r>
      <w:r w:rsidRPr="00F61EB0">
        <w:rPr>
          <w:rFonts w:ascii="Palatino Linotype" w:hAnsi="Palatino Linotype"/>
          <w:lang w:val="en-GB"/>
        </w:rPr>
        <w:t>: 76-80.</w:t>
      </w:r>
    </w:p>
  </w:footnote>
  <w:footnote w:id="16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Charles Henry Smith, ‘Letter to Papa’ (Beirut, 27 May 1856): YDS: ES Box 1: Folder 12. </w:t>
      </w:r>
    </w:p>
  </w:footnote>
  <w:footnote w:id="16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Isaac Bird and George Whiting, ‘Letter to Jeremiah Evert’ (Beirut, January 1831): ABCFM microfilm Unit 5: Near East: Reel 537; Jessup, </w:t>
      </w:r>
      <w:r w:rsidRPr="00F61EB0">
        <w:rPr>
          <w:rFonts w:ascii="Palatino Linotype" w:hAnsi="Palatino Linotype"/>
          <w:i/>
          <w:lang w:val="en-GB"/>
        </w:rPr>
        <w:t>WA</w:t>
      </w:r>
      <w:r w:rsidRPr="00F61EB0">
        <w:rPr>
          <w:rFonts w:ascii="Palatino Linotype" w:hAnsi="Palatino Linotype"/>
          <w:lang w:val="en-GB"/>
        </w:rPr>
        <w:t xml:space="preserve">: 90-91, 136-137. For an analysis of how the mission house served as a model within missionary encounters see Comaroff and Comaroff, </w:t>
      </w:r>
      <w:r w:rsidRPr="00F61EB0">
        <w:rPr>
          <w:rFonts w:ascii="Palatino Linotype" w:hAnsi="Palatino Linotype"/>
          <w:i/>
          <w:lang w:val="en-GB"/>
        </w:rPr>
        <w:t>RR: II</w:t>
      </w:r>
      <w:r w:rsidRPr="00F61EB0">
        <w:rPr>
          <w:rFonts w:ascii="Palatino Linotype" w:hAnsi="Palatino Linotype"/>
          <w:lang w:val="en-GB"/>
        </w:rPr>
        <w:t>: 198.</w:t>
      </w:r>
    </w:p>
  </w:footnote>
  <w:footnote w:id="16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Wife’ (Off Sinope, 16 June 1856). ABCFM missionaries at the Sandwich Islands faced similar problems of ‘contamination’, which they resolved through either returning their children to the United States or confining them to a nursery. Robert, </w:t>
      </w:r>
      <w:r w:rsidRPr="00F61EB0">
        <w:rPr>
          <w:rFonts w:ascii="Palatino Linotype" w:hAnsi="Palatino Linotype"/>
          <w:i/>
          <w:lang w:val="en-GB"/>
        </w:rPr>
        <w:t>American Women in Mission</w:t>
      </w:r>
      <w:r w:rsidRPr="00F61EB0">
        <w:rPr>
          <w:rFonts w:ascii="Palatino Linotype" w:hAnsi="Palatino Linotype"/>
          <w:lang w:val="en-GB"/>
        </w:rPr>
        <w:t>: 61.</w:t>
      </w:r>
    </w:p>
  </w:footnote>
  <w:footnote w:id="17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Hooker, </w:t>
      </w:r>
      <w:r w:rsidRPr="00F61EB0">
        <w:rPr>
          <w:rFonts w:ascii="Palatino Linotype" w:hAnsi="Palatino Linotype"/>
          <w:i/>
          <w:lang w:val="en-GB"/>
        </w:rPr>
        <w:t>MSLS</w:t>
      </w:r>
      <w:r w:rsidRPr="00F61EB0">
        <w:rPr>
          <w:rFonts w:ascii="Palatino Linotype" w:hAnsi="Palatino Linotype"/>
          <w:lang w:val="en-GB"/>
        </w:rPr>
        <w:t>: 280-281.</w:t>
      </w:r>
    </w:p>
  </w:footnote>
  <w:footnote w:id="17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Wife’ (Off Sinope, 16 June 1856); Smith, ‘Letter to Husband’ (Bhamdoun, 11 July 1856).</w:t>
      </w:r>
    </w:p>
  </w:footnote>
  <w:footnote w:id="17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Mother’ (Beirut, 11 March 1848).</w:t>
      </w:r>
    </w:p>
  </w:footnote>
  <w:footnote w:id="17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Hetty Smith found it amusing that her daughter, Mary, employed the Arabic words and phrases that she learned from Syrian servants. Smith, ‘Letter to Mother’ (Bhamdoun, 27 October 1848).</w:t>
      </w:r>
    </w:p>
  </w:footnote>
  <w:footnote w:id="17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Brother [Isaac] Bird’ (Beirut, 27 November 1850).</w:t>
      </w:r>
    </w:p>
  </w:footnote>
  <w:footnote w:id="17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Sarah Smith, ‘Letter to Matilda Whiting’ (n.s., 26 [July] 1835): HHL: ABC 60 (110).</w:t>
      </w:r>
    </w:p>
  </w:footnote>
  <w:footnote w:id="17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The story of ‘Sitt Abla’ is one such example. Jessup, </w:t>
      </w:r>
      <w:r w:rsidRPr="00F61EB0">
        <w:rPr>
          <w:rFonts w:ascii="Palatino Linotype" w:hAnsi="Palatino Linotype"/>
          <w:i/>
          <w:lang w:val="en-GB"/>
        </w:rPr>
        <w:t>WA</w:t>
      </w:r>
      <w:r w:rsidRPr="00F61EB0">
        <w:rPr>
          <w:rFonts w:ascii="Palatino Linotype" w:hAnsi="Palatino Linotype"/>
          <w:lang w:val="en-GB"/>
        </w:rPr>
        <w:t>: 30-33.</w:t>
      </w:r>
    </w:p>
  </w:footnote>
  <w:footnote w:id="17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Matilda Whiting’ (n.s., 26 [July] 1835); DeForest, ‘Letter to Eli Smith’ (n.s., July 1845).</w:t>
      </w:r>
    </w:p>
  </w:footnote>
  <w:footnote w:id="17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ABCFM, </w:t>
      </w:r>
      <w:r w:rsidRPr="00F61EB0">
        <w:rPr>
          <w:rFonts w:ascii="Palatino Linotype" w:hAnsi="Palatino Linotype"/>
          <w:i/>
          <w:lang w:val="en-GB"/>
        </w:rPr>
        <w:t>Annual Report</w:t>
      </w:r>
      <w:r w:rsidRPr="00F61EB0">
        <w:rPr>
          <w:rFonts w:ascii="Palatino Linotype" w:hAnsi="Palatino Linotype"/>
          <w:lang w:val="en-GB"/>
        </w:rPr>
        <w:t xml:space="preserve"> (Beirut, 1850).</w:t>
      </w:r>
    </w:p>
  </w:footnote>
  <w:footnote w:id="17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John Gerstner, </w:t>
      </w:r>
      <w:r w:rsidRPr="00F61EB0">
        <w:rPr>
          <w:rFonts w:ascii="Palatino Linotype" w:hAnsi="Palatino Linotype"/>
          <w:i/>
          <w:lang w:val="en-GB"/>
        </w:rPr>
        <w:t>The Rational Biblical Theology of Jonathan Edwards: III</w:t>
      </w:r>
      <w:r w:rsidRPr="00F61EB0">
        <w:rPr>
          <w:rFonts w:ascii="Palatino Linotype" w:hAnsi="Palatino Linotype"/>
          <w:lang w:val="en-GB"/>
        </w:rPr>
        <w:t xml:space="preserve"> </w:t>
      </w:r>
      <w:r w:rsidRPr="00F61EB0">
        <w:rPr>
          <w:rFonts w:ascii="Palatino Linotype" w:hAnsi="Palatino Linotype"/>
          <w:i/>
          <w:lang w:val="en-GB"/>
        </w:rPr>
        <w:t>(</w:t>
      </w:r>
      <w:r w:rsidRPr="00F61EB0">
        <w:rPr>
          <w:rFonts w:ascii="Palatino Linotype" w:hAnsi="Palatino Linotype"/>
          <w:lang w:val="en-GB"/>
        </w:rPr>
        <w:t xml:space="preserve">Orlando, FL: Ligonier Ministries, 1993): 428; Scholten, </w:t>
      </w:r>
      <w:r w:rsidRPr="00F61EB0">
        <w:rPr>
          <w:rFonts w:ascii="Palatino Linotype" w:hAnsi="Palatino Linotype"/>
          <w:i/>
          <w:lang w:val="en-GB"/>
        </w:rPr>
        <w:t>Childbearing in American Society</w:t>
      </w:r>
      <w:r w:rsidRPr="00F61EB0">
        <w:rPr>
          <w:rFonts w:ascii="Palatino Linotype" w:hAnsi="Palatino Linotype"/>
          <w:lang w:val="en-GB"/>
        </w:rPr>
        <w:t>: 59-60; Hoffert, ‘</w:t>
      </w:r>
      <w:r w:rsidRPr="00F61EB0">
        <w:rPr>
          <w:rFonts w:ascii="Palatino Linotype" w:hAnsi="Palatino Linotype"/>
        </w:rPr>
        <w:t>A Very Peculiar Sorrow’</w:t>
      </w:r>
      <w:r w:rsidRPr="00F61EB0">
        <w:rPr>
          <w:rFonts w:ascii="Palatino Linotype" w:hAnsi="Palatino Linotype"/>
          <w:lang w:val="en-GB"/>
        </w:rPr>
        <w:t>: 606.</w:t>
      </w:r>
    </w:p>
  </w:footnote>
  <w:footnote w:id="18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(1856): 130; McCoy, ‘The Women of the ABCFM Oregon Mission’: 66-67.</w:t>
      </w:r>
    </w:p>
  </w:footnote>
  <w:footnote w:id="18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Norman Pettit, ‘Infant Piety in New England: The Legacy of Horace Bushnell’, </w:t>
      </w:r>
      <w:r w:rsidRPr="00F61EB0">
        <w:rPr>
          <w:rFonts w:ascii="Palatino Linotype" w:hAnsi="Palatino Linotype"/>
          <w:i/>
          <w:lang w:val="en-GB"/>
        </w:rPr>
        <w:t>The New England Quarterly</w:t>
      </w:r>
      <w:r w:rsidRPr="00F61EB0">
        <w:rPr>
          <w:rFonts w:ascii="Palatino Linotype" w:hAnsi="Palatino Linotype"/>
          <w:lang w:val="en-GB"/>
        </w:rPr>
        <w:t>, 75: 3 (2002): 452.</w:t>
      </w:r>
    </w:p>
  </w:footnote>
  <w:footnote w:id="18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Pasulka, ‘A Communion of Little Saints’: 62-67.</w:t>
      </w:r>
    </w:p>
  </w:footnote>
  <w:footnote w:id="18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Hoffert, ‘</w:t>
      </w:r>
      <w:r w:rsidRPr="00F61EB0">
        <w:rPr>
          <w:rFonts w:ascii="Palatino Linotype" w:hAnsi="Palatino Linotype"/>
        </w:rPr>
        <w:t>A Very Peculiar Sorrow’</w:t>
      </w:r>
      <w:r w:rsidRPr="00F61EB0">
        <w:rPr>
          <w:rFonts w:ascii="Palatino Linotype" w:hAnsi="Palatino Linotype"/>
          <w:lang w:val="en-GB"/>
        </w:rPr>
        <w:t>: 606-608. An anti-revivalist strand also emerged during the 1840s, particularly with works of Horace Bushnell. Pettit, ‘Infant Piety in New England’: 454-455.</w:t>
      </w:r>
    </w:p>
  </w:footnote>
  <w:footnote w:id="18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The cemetery, like most buildings of the Mission Compound, was destroyed during the Civil War of 1975 to 1991. The site of the cemetery is now a park behind the new National Evangelical Church of Beirut building. The National Evangelical Church of Beirut, ‘The Rebuilding’ (Beirut, n.d.). Securing a place to bury deceased Protestants was a priority for the ABCFM missionaries and Syrian Protestants. See </w:t>
      </w:r>
      <w:r w:rsidRPr="00F61EB0">
        <w:rPr>
          <w:rFonts w:ascii="Palatino Linotype" w:hAnsi="Palatino Linotype"/>
          <w:i/>
          <w:lang w:val="en-GB"/>
        </w:rPr>
        <w:t>MH</w:t>
      </w:r>
      <w:r w:rsidRPr="00F61EB0">
        <w:rPr>
          <w:rFonts w:ascii="Palatino Linotype" w:hAnsi="Palatino Linotype"/>
          <w:lang w:val="en-GB"/>
        </w:rPr>
        <w:t xml:space="preserve"> (1835): 52-3; Hooker, </w:t>
      </w:r>
      <w:r w:rsidRPr="00F61EB0">
        <w:rPr>
          <w:rFonts w:ascii="Palatino Linotype" w:hAnsi="Palatino Linotype"/>
          <w:i/>
          <w:lang w:val="en-GB"/>
        </w:rPr>
        <w:t>MSLS</w:t>
      </w:r>
      <w:r w:rsidRPr="00F61EB0">
        <w:rPr>
          <w:rFonts w:ascii="Palatino Linotype" w:hAnsi="Palatino Linotype"/>
          <w:lang w:val="en-GB"/>
        </w:rPr>
        <w:t xml:space="preserve">: 263. </w:t>
      </w:r>
    </w:p>
  </w:footnote>
  <w:footnote w:id="18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n.s., </w:t>
      </w:r>
      <w:r w:rsidRPr="00F61EB0">
        <w:rPr>
          <w:rFonts w:ascii="Palatino Linotype" w:hAnsi="Palatino Linotype"/>
          <w:i/>
          <w:lang w:val="en-GB"/>
        </w:rPr>
        <w:t>Cemetery Record: American Presbyterian Mission</w:t>
      </w:r>
      <w:r w:rsidRPr="00F61EB0">
        <w:rPr>
          <w:rFonts w:ascii="Palatino Linotype" w:hAnsi="Palatino Linotype"/>
          <w:lang w:val="en-GB"/>
        </w:rPr>
        <w:t xml:space="preserve">. For an analysis on the role of public cemeteries on nineteenth century Protestant culture in the United States see McDannell, </w:t>
      </w:r>
      <w:r w:rsidRPr="00F61EB0">
        <w:rPr>
          <w:rFonts w:ascii="Palatino Linotype" w:hAnsi="Palatino Linotype"/>
          <w:i/>
          <w:lang w:val="en-GB"/>
        </w:rPr>
        <w:t>Material Christianity</w:t>
      </w:r>
      <w:r w:rsidRPr="00F61EB0">
        <w:rPr>
          <w:rFonts w:ascii="Palatino Linotype" w:hAnsi="Palatino Linotype"/>
          <w:lang w:val="en-GB"/>
        </w:rPr>
        <w:t>: 103-131.</w:t>
      </w:r>
    </w:p>
  </w:footnote>
  <w:footnote w:id="18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Scholten, </w:t>
      </w:r>
      <w:r w:rsidRPr="00F61EB0">
        <w:rPr>
          <w:rFonts w:ascii="Palatino Linotype" w:hAnsi="Palatino Linotype"/>
          <w:i/>
          <w:lang w:val="en-GB"/>
        </w:rPr>
        <w:t>Childbearing in American Society</w:t>
      </w:r>
      <w:r w:rsidRPr="00F61EB0">
        <w:rPr>
          <w:rFonts w:ascii="Palatino Linotype" w:hAnsi="Palatino Linotype"/>
          <w:lang w:val="en-GB"/>
        </w:rPr>
        <w:t>: 61.</w:t>
      </w:r>
    </w:p>
  </w:footnote>
  <w:footnote w:id="18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Melita Carabet in Jessup,</w:t>
      </w:r>
      <w:r w:rsidRPr="00F61EB0">
        <w:rPr>
          <w:rFonts w:ascii="Palatino Linotype" w:hAnsi="Palatino Linotype"/>
          <w:i/>
          <w:lang w:val="en-GB"/>
        </w:rPr>
        <w:t xml:space="preserve"> WA</w:t>
      </w:r>
      <w:r w:rsidRPr="00F61EB0">
        <w:rPr>
          <w:rFonts w:ascii="Palatino Linotype" w:hAnsi="Palatino Linotype"/>
          <w:lang w:val="en-GB"/>
        </w:rPr>
        <w:t>: 65.</w:t>
      </w:r>
    </w:p>
  </w:footnote>
  <w:footnote w:id="188">
    <w:p w:rsidR="00665C5A" w:rsidRPr="00F61EB0" w:rsidRDefault="00665C5A" w:rsidP="001761FF">
      <w:pPr>
        <w:pStyle w:val="FootnoteText"/>
        <w:tabs>
          <w:tab w:val="left" w:pos="1080"/>
        </w:tabs>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Sisters’ (Beirut, 16 May 1850).</w:t>
      </w:r>
    </w:p>
  </w:footnote>
  <w:footnote w:id="18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In 1903, a list of headstones for the cemetery list nineteen children who died before 1860. These were the children of ABCFM missionaries, Syrian Protestants, British-American Consuls and Protestant merchants. n.s., </w:t>
      </w:r>
      <w:r w:rsidRPr="00F61EB0">
        <w:rPr>
          <w:rFonts w:ascii="Palatino Linotype" w:hAnsi="Palatino Linotype"/>
          <w:i/>
          <w:lang w:val="en-GB"/>
        </w:rPr>
        <w:t>Cemetery Record: American Presbyterian Mission</w:t>
      </w:r>
      <w:r w:rsidRPr="00F61EB0">
        <w:rPr>
          <w:rFonts w:ascii="Palatino Linotype" w:hAnsi="Palatino Linotype"/>
          <w:lang w:val="en-GB"/>
        </w:rPr>
        <w:t xml:space="preserve">. Some deaths were also recorded in Annual Reports. ABCFM, </w:t>
      </w:r>
      <w:r w:rsidRPr="00F61EB0">
        <w:rPr>
          <w:rFonts w:ascii="Palatino Linotype" w:hAnsi="Palatino Linotype"/>
          <w:i/>
          <w:lang w:val="en-GB"/>
        </w:rPr>
        <w:t>Annual Reports</w:t>
      </w:r>
      <w:r w:rsidRPr="00F61EB0">
        <w:rPr>
          <w:rFonts w:ascii="Palatino Linotype" w:hAnsi="Palatino Linotype"/>
          <w:lang w:val="en-GB"/>
        </w:rPr>
        <w:t xml:space="preserve"> (Beirut, 1845).</w:t>
      </w:r>
    </w:p>
  </w:footnote>
  <w:footnote w:id="19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Thomson, (28 December [1838]): ‘Letter to Eli Smith’.</w:t>
      </w:r>
    </w:p>
  </w:footnote>
  <w:footnote w:id="191">
    <w:p w:rsidR="00665C5A" w:rsidRPr="00F61EB0" w:rsidRDefault="00665C5A" w:rsidP="001761FF">
      <w:pPr>
        <w:pStyle w:val="FootnoteText"/>
        <w:ind w:left="90" w:hanging="90"/>
        <w:jc w:val="both"/>
        <w:rPr>
          <w:rFonts w:ascii="Palatino Linotype" w:hAnsi="Palatino Linotype"/>
        </w:rPr>
      </w:pPr>
      <w:r w:rsidRPr="00F61EB0">
        <w:rPr>
          <w:rStyle w:val="FootnoteReference"/>
          <w:rFonts w:ascii="Palatino Linotype" w:hAnsi="Palatino Linotype"/>
        </w:rPr>
        <w:footnoteRef/>
      </w:r>
      <w:r w:rsidRPr="00F61EB0">
        <w:rPr>
          <w:rFonts w:ascii="Palatino Linotype" w:hAnsi="Palatino Linotype"/>
        </w:rPr>
        <w:t xml:space="preserve"> For an analysis on contemporary Americans’ views on infant death and salvation see </w:t>
      </w:r>
      <w:r w:rsidRPr="00F61EB0">
        <w:rPr>
          <w:rFonts w:ascii="Palatino Linotype" w:hAnsi="Palatino Linotype"/>
          <w:lang w:val="en-GB"/>
        </w:rPr>
        <w:t>Hoffert, ‘</w:t>
      </w:r>
      <w:r w:rsidRPr="00F61EB0">
        <w:rPr>
          <w:rFonts w:ascii="Palatino Linotype" w:hAnsi="Palatino Linotype"/>
        </w:rPr>
        <w:t>A Very Peculiar Sorrow’: 601-616.</w:t>
      </w:r>
    </w:p>
  </w:footnote>
  <w:footnote w:id="19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(1835): 50.</w:t>
      </w:r>
    </w:p>
  </w:footnote>
  <w:footnote w:id="19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Wolcott, ‘Letter to Sir’ (Beirut, 30 October 1841); Wolcott, ‘Confidential: Letter to Sir’ (Beirut, 8 November 1841).</w:t>
      </w:r>
      <w:r>
        <w:rPr>
          <w:rFonts w:ascii="Palatino Linotype" w:hAnsi="Palatino Linotype"/>
          <w:lang w:val="en-GB"/>
        </w:rPr>
        <w:t xml:space="preserve"> I use the term abortion for this is the best description of the medical opearation. Wolcott however does not use this term and it is unclear from his letter if the foetus was still alive or had previously died before the operation.</w:t>
      </w:r>
    </w:p>
  </w:footnote>
  <w:footnote w:id="19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Wolcott, ‘Confidential: Letter to Sir’ (Beirut, 8 November 1841).</w:t>
      </w:r>
    </w:p>
  </w:footnote>
  <w:footnote w:id="19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The eight day gap between Samuel’s ‘official’, hagiographical version of the story (presumably to be reprinted in the </w:t>
      </w:r>
      <w:r w:rsidRPr="00F61EB0">
        <w:rPr>
          <w:rFonts w:ascii="Palatino Linotype" w:hAnsi="Palatino Linotype"/>
          <w:i/>
          <w:lang w:val="en-GB"/>
        </w:rPr>
        <w:t>Missionary Herald</w:t>
      </w:r>
      <w:r w:rsidRPr="00F61EB0">
        <w:rPr>
          <w:rFonts w:ascii="Palatino Linotype" w:hAnsi="Palatino Linotype"/>
          <w:lang w:val="en-GB"/>
        </w:rPr>
        <w:t xml:space="preserve">) and the ‘Confidential’ account, suggests a period of emotional and religious struggle. Other missionary accounts reveal the deep emotional struggles of missionary men faced upon the death of their wives, emotions which were not represented in the </w:t>
      </w:r>
      <w:r>
        <w:rPr>
          <w:rFonts w:ascii="Palatino Linotype" w:hAnsi="Palatino Linotype"/>
          <w:lang w:val="en-GB"/>
        </w:rPr>
        <w:t>public sources</w:t>
      </w:r>
      <w:r w:rsidRPr="00F61EB0">
        <w:rPr>
          <w:rFonts w:ascii="Palatino Linotype" w:hAnsi="Palatino Linotype"/>
          <w:lang w:val="en-GB"/>
        </w:rPr>
        <w:t xml:space="preserve">. See Smith, ‘Letter to My Dear Parents [Mr. and Mrs. Lanman]’ (Beirut, 7 June 1842); Smith, ‘Letter to Sir [Mr. Lanman]’ (Beirut, 2 November 1842); Bliss, </w:t>
      </w:r>
      <w:r w:rsidRPr="00F61EB0">
        <w:rPr>
          <w:rFonts w:ascii="Palatino Linotype" w:hAnsi="Palatino Linotype"/>
          <w:i/>
          <w:lang w:val="en-GB"/>
        </w:rPr>
        <w:t>RDS</w:t>
      </w:r>
      <w:r w:rsidRPr="00F61EB0">
        <w:rPr>
          <w:rFonts w:ascii="Palatino Linotype" w:hAnsi="Palatino Linotype"/>
          <w:lang w:val="en-GB"/>
        </w:rPr>
        <w:t xml:space="preserve">: 113-114. Missionary death narratives were discussed by </w:t>
      </w:r>
      <w:r w:rsidRPr="00F61EB0">
        <w:rPr>
          <w:rFonts w:ascii="Palatino Linotype" w:hAnsi="Palatino Linotype"/>
        </w:rPr>
        <w:t>Elenor Abdella Doumato, ‘</w:t>
      </w:r>
      <w:r w:rsidRPr="00F61EB0">
        <w:rPr>
          <w:rFonts w:ascii="Palatino Linotype" w:hAnsi="Palatino Linotype"/>
          <w:iCs/>
        </w:rPr>
        <w:t xml:space="preserve">Joyful Death: The Romance of Americans in Mission to the Nestorians’, </w:t>
      </w:r>
      <w:r w:rsidRPr="00F61EB0">
        <w:rPr>
          <w:rFonts w:ascii="Palatino Linotype" w:hAnsi="Palatino Linotype"/>
          <w:iCs/>
          <w:lang w:val="en-GB"/>
        </w:rPr>
        <w:t>Presented at: Christian Missionaries in the Middle East: Re-Thinking Colonial Encounters. (Raleigh, North Carolina, 4-5 May 2007).</w:t>
      </w:r>
    </w:p>
  </w:footnote>
  <w:footnote w:id="196">
    <w:p w:rsidR="00665C5A" w:rsidRPr="00F61EB0" w:rsidRDefault="00665C5A" w:rsidP="001761FF">
      <w:pPr>
        <w:pStyle w:val="FootnoteText"/>
        <w:ind w:left="90" w:hanging="90"/>
        <w:jc w:val="both"/>
        <w:rPr>
          <w:rFonts w:ascii="Palatino Linotype" w:hAnsi="Palatino Linotype"/>
        </w:rPr>
      </w:pPr>
      <w:r w:rsidRPr="00F61EB0">
        <w:rPr>
          <w:rStyle w:val="FootnoteReference"/>
          <w:rFonts w:ascii="Palatino Linotype" w:hAnsi="Palatino Linotype"/>
        </w:rPr>
        <w:footnoteRef/>
      </w:r>
      <w:r w:rsidRPr="00F61EB0">
        <w:rPr>
          <w:rFonts w:ascii="Palatino Linotype" w:hAnsi="Palatino Linotype"/>
        </w:rPr>
        <w:t xml:space="preserve"> </w:t>
      </w:r>
      <w:r w:rsidRPr="00F61EB0">
        <w:rPr>
          <w:rFonts w:ascii="Palatino Linotype" w:hAnsi="Palatino Linotype"/>
          <w:lang w:val="en-GB"/>
        </w:rPr>
        <w:t>Hoffert, ‘</w:t>
      </w:r>
      <w:r w:rsidRPr="00F61EB0">
        <w:rPr>
          <w:rFonts w:ascii="Palatino Linotype" w:hAnsi="Palatino Linotype"/>
        </w:rPr>
        <w:t>A Very Peculiar Sorrow’: 602, 608-616.</w:t>
      </w:r>
    </w:p>
  </w:footnote>
  <w:footnote w:id="19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Emphasis in original. Smith, ‘Incomplete Letter’ ( n.s., May 1850).</w:t>
      </w:r>
    </w:p>
  </w:footnote>
  <w:footnote w:id="19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‘Incomplete Letter’ (n.s., May 1850).</w:t>
      </w:r>
    </w:p>
  </w:footnote>
  <w:footnote w:id="19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Jessup, ‘Journal from June 23 to July 6, 1858’ (Tripoli, June/July 1858).</w:t>
      </w:r>
    </w:p>
  </w:footnote>
  <w:footnote w:id="20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It is unclear from the sources if the ABCFM missionaries believed that non-Protestant children, either ‘Frank’ or Syrian, were also regarded as innocent. </w:t>
      </w:r>
    </w:p>
  </w:footnote>
  <w:footnote w:id="20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Emphasis in original. Charles Henry Smith, ‘Letter to Papa’ (Beirut, 2 June 1856): YDS: ES Box 1: Folder 12</w:t>
      </w:r>
    </w:p>
  </w:footnote>
  <w:footnote w:id="20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Melita Carabet in Jessup, </w:t>
      </w:r>
      <w:r w:rsidRPr="00F61EB0">
        <w:rPr>
          <w:rFonts w:ascii="Palatino Linotype" w:hAnsi="Palatino Linotype"/>
          <w:i/>
          <w:lang w:val="en-GB"/>
        </w:rPr>
        <w:t>WA</w:t>
      </w:r>
      <w:r w:rsidRPr="00F61EB0">
        <w:rPr>
          <w:rFonts w:ascii="Palatino Linotype" w:hAnsi="Palatino Linotype"/>
          <w:lang w:val="en-GB"/>
        </w:rPr>
        <w:t>: 66.</w:t>
      </w:r>
    </w:p>
  </w:footnote>
  <w:footnote w:id="20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 xml:space="preserve">MH </w:t>
      </w:r>
      <w:r w:rsidRPr="00F61EB0">
        <w:rPr>
          <w:rFonts w:ascii="Palatino Linotype" w:hAnsi="Palatino Linotype"/>
          <w:lang w:val="en-GB"/>
        </w:rPr>
        <w:t xml:space="preserve">(1827): 111; Jessup, </w:t>
      </w:r>
      <w:r w:rsidRPr="00F61EB0">
        <w:rPr>
          <w:rFonts w:ascii="Palatino Linotype" w:hAnsi="Palatino Linotype"/>
          <w:i/>
          <w:lang w:val="en-GB"/>
        </w:rPr>
        <w:t>WA</w:t>
      </w:r>
      <w:r w:rsidRPr="00F61EB0">
        <w:rPr>
          <w:rFonts w:ascii="Palatino Linotype" w:hAnsi="Palatino Linotype"/>
          <w:lang w:val="en-GB"/>
        </w:rPr>
        <w:t>: 62.</w:t>
      </w:r>
    </w:p>
  </w:footnote>
  <w:footnote w:id="20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‘Baptism Note’. </w:t>
      </w:r>
    </w:p>
  </w:footnote>
  <w:footnote w:id="20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Smith, ‘Letter to Sister’ (Bhamdoun, 9 September 1847); </w:t>
      </w:r>
      <w:r w:rsidRPr="00F61EB0">
        <w:rPr>
          <w:rFonts w:ascii="Palatino Linotype" w:hAnsi="Palatino Linotype"/>
          <w:i/>
          <w:lang w:val="en-GB"/>
        </w:rPr>
        <w:t>MH</w:t>
      </w:r>
      <w:r w:rsidRPr="00F61EB0">
        <w:rPr>
          <w:rFonts w:ascii="Palatino Linotype" w:hAnsi="Palatino Linotype"/>
          <w:lang w:val="en-GB"/>
        </w:rPr>
        <w:t xml:space="preserve"> (1838): 475.</w:t>
      </w:r>
    </w:p>
  </w:footnote>
  <w:footnote w:id="20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Wortabet, </w:t>
      </w:r>
      <w:r w:rsidRPr="00F61EB0">
        <w:rPr>
          <w:rFonts w:ascii="Palatino Linotype" w:hAnsi="Palatino Linotype"/>
          <w:i/>
          <w:lang w:val="en-GB"/>
        </w:rPr>
        <w:t>RRS</w:t>
      </w:r>
      <w:r w:rsidRPr="00F61EB0">
        <w:rPr>
          <w:rFonts w:ascii="Palatino Linotype" w:hAnsi="Palatino Linotype"/>
          <w:lang w:val="en-GB"/>
        </w:rPr>
        <w:t>: 91-92.</w:t>
      </w:r>
    </w:p>
  </w:footnote>
  <w:footnote w:id="20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Emphasis in Wortabet’s translation. ‘Firma Manuductio’, in Wortabet: </w:t>
      </w:r>
      <w:r w:rsidRPr="00F61EB0">
        <w:rPr>
          <w:rFonts w:ascii="Palatino Linotype" w:hAnsi="Palatino Linotype"/>
          <w:i/>
          <w:lang w:val="en-GB"/>
        </w:rPr>
        <w:t xml:space="preserve">RRS: </w:t>
      </w:r>
      <w:r w:rsidRPr="00F61EB0">
        <w:rPr>
          <w:rFonts w:ascii="Palatino Linotype" w:hAnsi="Palatino Linotype"/>
          <w:lang w:val="en-GB"/>
        </w:rPr>
        <w:t>23</w:t>
      </w:r>
    </w:p>
  </w:footnote>
  <w:footnote w:id="20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‘Synnaxar; Saturday for the Dead’ in Wortabet, </w:t>
      </w:r>
      <w:r w:rsidRPr="00F61EB0">
        <w:rPr>
          <w:rFonts w:ascii="Palatino Linotype" w:hAnsi="Palatino Linotype"/>
          <w:i/>
          <w:lang w:val="en-GB"/>
        </w:rPr>
        <w:t>RRS</w:t>
      </w:r>
      <w:r w:rsidRPr="00F61EB0">
        <w:rPr>
          <w:rFonts w:ascii="Palatino Linotype" w:hAnsi="Palatino Linotype"/>
          <w:lang w:val="en-GB"/>
        </w:rPr>
        <w:t>: 42.</w:t>
      </w:r>
    </w:p>
  </w:footnote>
  <w:footnote w:id="20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‘Firma Manuductio’ in Wortabet, </w:t>
      </w:r>
      <w:r w:rsidRPr="00F61EB0">
        <w:rPr>
          <w:rFonts w:ascii="Palatino Linotype" w:hAnsi="Palatino Linotype"/>
          <w:i/>
          <w:lang w:val="en-GB"/>
        </w:rPr>
        <w:t>RRS</w:t>
      </w:r>
      <w:r w:rsidRPr="00F61EB0">
        <w:rPr>
          <w:rFonts w:ascii="Palatino Linotype" w:hAnsi="Palatino Linotype"/>
          <w:lang w:val="en-GB"/>
        </w:rPr>
        <w:t>: 23.</w:t>
      </w:r>
    </w:p>
  </w:footnote>
  <w:footnote w:id="21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Chasseaud, ‘Notice of Baptism for Adelaide Charlotte Abbott’; Chasseaud, ‘Notice of Baptism for William Peter Augustus Chasseaud’; Chasseaud, ‘Notice of Baptism for Alfred Augustus Barker Chasseaud’; Smith, ‘Notice of Baptism for Juliet Churchill’; Whiting, ‘Notice of Baptism for Giorgiana Gordon’. In contrast, John and Salome Wortabet did not register the birth and baptism of their children (between 1853 and 1862) with the British consul until 1873. This may have been due to the uncertainty of the Wortabets’ political affiliation. John Wortabet, ‘Registrations of Children’ (Beirut, 22 January 1872): [British] PRO: FO 616/5.</w:t>
      </w:r>
    </w:p>
  </w:footnote>
  <w:footnote w:id="21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(1836): 462.</w:t>
      </w:r>
    </w:p>
  </w:footnote>
  <w:footnote w:id="212">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(1827): 111; </w:t>
      </w:r>
      <w:r w:rsidRPr="00F61EB0">
        <w:rPr>
          <w:rFonts w:ascii="Palatino Linotype" w:hAnsi="Palatino Linotype"/>
          <w:i/>
          <w:lang w:val="en-GB"/>
        </w:rPr>
        <w:t>MH</w:t>
      </w:r>
      <w:r w:rsidRPr="00F61EB0">
        <w:rPr>
          <w:rFonts w:ascii="Palatino Linotype" w:hAnsi="Palatino Linotype"/>
          <w:lang w:val="en-GB"/>
        </w:rPr>
        <w:t xml:space="preserve"> (1859): 77. </w:t>
      </w:r>
    </w:p>
  </w:footnote>
  <w:footnote w:id="213">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(1845): 149. </w:t>
      </w:r>
    </w:p>
  </w:footnote>
  <w:footnote w:id="214">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(1845): 149.</w:t>
      </w:r>
    </w:p>
  </w:footnote>
  <w:footnote w:id="215">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w:t>
      </w:r>
      <w:r w:rsidRPr="00F61EB0">
        <w:rPr>
          <w:rFonts w:ascii="Palatino Linotype" w:hAnsi="Palatino Linotype"/>
          <w:i/>
          <w:lang w:val="en-GB"/>
        </w:rPr>
        <w:t>MH</w:t>
      </w:r>
      <w:r w:rsidRPr="00F61EB0">
        <w:rPr>
          <w:rFonts w:ascii="Palatino Linotype" w:hAnsi="Palatino Linotype"/>
          <w:lang w:val="en-GB"/>
        </w:rPr>
        <w:t xml:space="preserve"> (1845): 149. A similar conflict emerged upon the death of Barbara, the daughter of Antonio Yanni. Jessup, ‘Journal from June 23 to July 6, 1858’ (Tripoli, June/July 1858).</w:t>
      </w:r>
    </w:p>
  </w:footnote>
  <w:footnote w:id="216">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Original references omitted. Wortabet, </w:t>
      </w:r>
      <w:r w:rsidRPr="00F61EB0">
        <w:rPr>
          <w:rFonts w:ascii="Palatino Linotype" w:hAnsi="Palatino Linotype"/>
          <w:i/>
          <w:lang w:val="en-GB"/>
        </w:rPr>
        <w:t>RRS</w:t>
      </w:r>
      <w:r w:rsidRPr="00F61EB0">
        <w:rPr>
          <w:rFonts w:ascii="Palatino Linotype" w:hAnsi="Palatino Linotype"/>
          <w:lang w:val="en-GB"/>
        </w:rPr>
        <w:t xml:space="preserve">: 406; </w:t>
      </w:r>
      <w:r w:rsidRPr="00F61EB0">
        <w:rPr>
          <w:rFonts w:ascii="Palatino Linotype" w:hAnsi="Palatino Linotype"/>
          <w:i/>
          <w:lang w:val="en-GB"/>
        </w:rPr>
        <w:t>MH</w:t>
      </w:r>
      <w:r w:rsidRPr="00F61EB0">
        <w:rPr>
          <w:rFonts w:ascii="Palatino Linotype" w:hAnsi="Palatino Linotype"/>
          <w:lang w:val="en-GB"/>
        </w:rPr>
        <w:t xml:space="preserve"> (1848): 269.</w:t>
      </w:r>
    </w:p>
  </w:footnote>
  <w:footnote w:id="217">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Original references omitted. Wortabet, </w:t>
      </w:r>
      <w:r w:rsidRPr="00F61EB0">
        <w:rPr>
          <w:rFonts w:ascii="Palatino Linotype" w:hAnsi="Palatino Linotype"/>
          <w:i/>
          <w:lang w:val="en-GB"/>
        </w:rPr>
        <w:t>RRS</w:t>
      </w:r>
      <w:r w:rsidRPr="00F61EB0">
        <w:rPr>
          <w:rFonts w:ascii="Palatino Linotype" w:hAnsi="Palatino Linotype"/>
          <w:lang w:val="en-GB"/>
        </w:rPr>
        <w:t>: 409-410.</w:t>
      </w:r>
    </w:p>
  </w:footnote>
  <w:footnote w:id="218">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This is emphasised in the edited reprint of the ECB’s petition and constitution found in </w:t>
      </w:r>
      <w:r w:rsidRPr="00F61EB0">
        <w:rPr>
          <w:rFonts w:ascii="Palatino Linotype" w:hAnsi="Palatino Linotype"/>
          <w:i/>
          <w:lang w:val="en-GB"/>
        </w:rPr>
        <w:t>MH</w:t>
      </w:r>
      <w:r w:rsidRPr="00F61EB0">
        <w:rPr>
          <w:rFonts w:ascii="Palatino Linotype" w:hAnsi="Palatino Linotype"/>
          <w:lang w:val="en-GB"/>
        </w:rPr>
        <w:t xml:space="preserve"> (1848): 266-270.</w:t>
      </w:r>
    </w:p>
  </w:footnote>
  <w:footnote w:id="219">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This conflict over baptism continued to plague the Protestant Circle. In 1886 a woman, born Druze but baptised by Simon Calhoun, had to be rebaptised by a Greek Orthodox priest as an adult before getting married. The woman’s father subsequently left the church because of this embarrassing incident. Jessup, </w:t>
      </w:r>
      <w:r w:rsidRPr="00F61EB0">
        <w:rPr>
          <w:rFonts w:ascii="Palatino Linotype" w:hAnsi="Palatino Linotype"/>
          <w:i/>
          <w:lang w:val="en-GB"/>
        </w:rPr>
        <w:t>Fifty-Three Years in Syria</w:t>
      </w:r>
      <w:r w:rsidRPr="00F61EB0">
        <w:rPr>
          <w:rFonts w:ascii="Palatino Linotype" w:hAnsi="Palatino Linotype"/>
          <w:lang w:val="en-GB"/>
        </w:rPr>
        <w:t>: 87.</w:t>
      </w:r>
    </w:p>
  </w:footnote>
  <w:footnote w:id="220">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Pasulka, ‘A Communion of Little Saints’: 62-67; Hoffert, ‘</w:t>
      </w:r>
      <w:r w:rsidRPr="00F61EB0">
        <w:rPr>
          <w:rFonts w:ascii="Palatino Linotype" w:hAnsi="Palatino Linotype"/>
        </w:rPr>
        <w:t>A Very Peculiar Sorrow’: 601-616.</w:t>
      </w:r>
    </w:p>
  </w:footnote>
  <w:footnote w:id="221">
    <w:p w:rsidR="00665C5A" w:rsidRPr="00F61EB0" w:rsidRDefault="00665C5A" w:rsidP="001761FF">
      <w:pPr>
        <w:pStyle w:val="FootnoteText"/>
        <w:ind w:left="90" w:hanging="90"/>
        <w:jc w:val="both"/>
        <w:rPr>
          <w:rFonts w:ascii="Palatino Linotype" w:hAnsi="Palatino Linotype"/>
          <w:lang w:val="en-GB"/>
        </w:rPr>
      </w:pPr>
      <w:r w:rsidRPr="00F61EB0">
        <w:rPr>
          <w:rStyle w:val="FootnoteReference"/>
          <w:rFonts w:ascii="Palatino Linotype" w:hAnsi="Palatino Linotype"/>
          <w:lang w:val="en-GB"/>
        </w:rPr>
        <w:footnoteRef/>
      </w:r>
      <w:r w:rsidRPr="00F61EB0">
        <w:rPr>
          <w:rFonts w:ascii="Palatino Linotype" w:hAnsi="Palatino Linotype"/>
          <w:lang w:val="en-GB"/>
        </w:rPr>
        <w:t xml:space="preserve"> Compare this to the condemnation voiced against Hindiyya by the Maronite Church, Jesuit missionaries and the nineteenth century Protestants. HeyBurger, </w:t>
      </w:r>
      <w:r w:rsidRPr="00F61EB0">
        <w:rPr>
          <w:rFonts w:ascii="Palatino Linotype" w:hAnsi="Palatino Linotype"/>
          <w:i/>
          <w:lang w:val="en-GB"/>
        </w:rPr>
        <w:t>Hindiyya:</w:t>
      </w:r>
      <w:r w:rsidRPr="00F61EB0">
        <w:rPr>
          <w:rFonts w:ascii="Palatino Linotype" w:hAnsi="Palatino Linotype"/>
          <w:lang w:val="en-GB"/>
        </w:rPr>
        <w:t xml:space="preserve"> 108-306; Wortabet, </w:t>
      </w:r>
      <w:r w:rsidRPr="00F61EB0">
        <w:rPr>
          <w:rFonts w:ascii="Palatino Linotype" w:hAnsi="Palatino Linotype"/>
          <w:i/>
          <w:lang w:val="en-GB"/>
        </w:rPr>
        <w:t>SS</w:t>
      </w:r>
      <w:r w:rsidRPr="00F61EB0">
        <w:rPr>
          <w:rFonts w:ascii="Palatino Linotype" w:hAnsi="Palatino Linotype"/>
          <w:lang w:val="en-GB"/>
        </w:rPr>
        <w:t xml:space="preserve">: 104-107; Churchill, </w:t>
      </w:r>
      <w:r w:rsidRPr="00F61EB0">
        <w:rPr>
          <w:rFonts w:ascii="Palatino Linotype" w:hAnsi="Palatino Linotype"/>
          <w:i/>
          <w:lang w:val="en-GB"/>
        </w:rPr>
        <w:t>Mount Lebanon</w:t>
      </w:r>
      <w:r w:rsidRPr="00F61EB0">
        <w:rPr>
          <w:rFonts w:ascii="Palatino Linotype" w:hAnsi="Palatino Linotype"/>
          <w:lang w:val="en-GB"/>
        </w:rPr>
        <w:t xml:space="preserve">: 78-85.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669CE"/>
    <w:multiLevelType w:val="hybridMultilevel"/>
    <w:tmpl w:val="BCA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2E3567"/>
    <w:multiLevelType w:val="multilevel"/>
    <w:tmpl w:val="D93E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0C392B"/>
    <w:multiLevelType w:val="hybridMultilevel"/>
    <w:tmpl w:val="D20CA59A"/>
    <w:lvl w:ilvl="0" w:tplc="42D662FC">
      <w:start w:val="1835"/>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revisionView w:inkAnnotations="0"/>
  <w:doNotTrackMoves/>
  <w:defaultTabStop w:val="706"/>
  <w:drawingGridHorizontalSpacing w:val="120"/>
  <w:drawingGridVerticalSpacing w:val="0"/>
  <w:displayHorizontalDrawingGridEvery w:val="0"/>
  <w:displayVerticalDrawingGridEvery w:val="0"/>
  <w:noPunctuationKerning/>
  <w:characterSpacingControl w:val="doNotCompress"/>
  <w:strictFirstAndLastChars/>
  <w:savePreviewPicture/>
  <w:footnotePr>
    <w:numRestart w:val="eachSect"/>
    <w:footnote w:id="0"/>
    <w:footnote w:id="1"/>
  </w:footnotePr>
  <w:endnotePr>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3668D"/>
    <w:rsid w:val="0000324B"/>
    <w:rsid w:val="00003442"/>
    <w:rsid w:val="0000500F"/>
    <w:rsid w:val="000054F4"/>
    <w:rsid w:val="000109B2"/>
    <w:rsid w:val="0001317D"/>
    <w:rsid w:val="00014B74"/>
    <w:rsid w:val="0001683F"/>
    <w:rsid w:val="00021954"/>
    <w:rsid w:val="00024C87"/>
    <w:rsid w:val="00033E2A"/>
    <w:rsid w:val="00034CE1"/>
    <w:rsid w:val="00035796"/>
    <w:rsid w:val="0003590D"/>
    <w:rsid w:val="00035DAC"/>
    <w:rsid w:val="0003636C"/>
    <w:rsid w:val="00037606"/>
    <w:rsid w:val="00041858"/>
    <w:rsid w:val="00041CDE"/>
    <w:rsid w:val="00043358"/>
    <w:rsid w:val="00043BF3"/>
    <w:rsid w:val="000463CE"/>
    <w:rsid w:val="00047D86"/>
    <w:rsid w:val="000508C3"/>
    <w:rsid w:val="00050AB3"/>
    <w:rsid w:val="00056887"/>
    <w:rsid w:val="000616FA"/>
    <w:rsid w:val="00062584"/>
    <w:rsid w:val="00062D06"/>
    <w:rsid w:val="00072357"/>
    <w:rsid w:val="00073CA2"/>
    <w:rsid w:val="00080095"/>
    <w:rsid w:val="00084CE6"/>
    <w:rsid w:val="00084DCF"/>
    <w:rsid w:val="00090238"/>
    <w:rsid w:val="000935BD"/>
    <w:rsid w:val="00094FD4"/>
    <w:rsid w:val="000964A1"/>
    <w:rsid w:val="000967D2"/>
    <w:rsid w:val="000A0BBB"/>
    <w:rsid w:val="000A182C"/>
    <w:rsid w:val="000A1DE2"/>
    <w:rsid w:val="000A23A7"/>
    <w:rsid w:val="000A6F42"/>
    <w:rsid w:val="000B036F"/>
    <w:rsid w:val="000B0ECE"/>
    <w:rsid w:val="000B55A3"/>
    <w:rsid w:val="000B5F21"/>
    <w:rsid w:val="000C3139"/>
    <w:rsid w:val="000C4A7E"/>
    <w:rsid w:val="000C50C4"/>
    <w:rsid w:val="000C6EA7"/>
    <w:rsid w:val="000C75BF"/>
    <w:rsid w:val="000D144D"/>
    <w:rsid w:val="000D1F0A"/>
    <w:rsid w:val="000D39A3"/>
    <w:rsid w:val="000D7C7A"/>
    <w:rsid w:val="000D7E70"/>
    <w:rsid w:val="000E5232"/>
    <w:rsid w:val="000E5416"/>
    <w:rsid w:val="000E7A95"/>
    <w:rsid w:val="000F1CDC"/>
    <w:rsid w:val="000F2FB2"/>
    <w:rsid w:val="000F412D"/>
    <w:rsid w:val="000F6899"/>
    <w:rsid w:val="0010051F"/>
    <w:rsid w:val="00100775"/>
    <w:rsid w:val="00106E13"/>
    <w:rsid w:val="00110E87"/>
    <w:rsid w:val="001134C8"/>
    <w:rsid w:val="001158B1"/>
    <w:rsid w:val="001167D9"/>
    <w:rsid w:val="0011681B"/>
    <w:rsid w:val="00120BF4"/>
    <w:rsid w:val="0012309D"/>
    <w:rsid w:val="00125DB4"/>
    <w:rsid w:val="00127C21"/>
    <w:rsid w:val="00135C29"/>
    <w:rsid w:val="001419B4"/>
    <w:rsid w:val="00141BD7"/>
    <w:rsid w:val="00142FFD"/>
    <w:rsid w:val="00143288"/>
    <w:rsid w:val="00143DD6"/>
    <w:rsid w:val="001448C2"/>
    <w:rsid w:val="00145654"/>
    <w:rsid w:val="001465BD"/>
    <w:rsid w:val="001502A7"/>
    <w:rsid w:val="001503F0"/>
    <w:rsid w:val="00150DED"/>
    <w:rsid w:val="00153381"/>
    <w:rsid w:val="0015480F"/>
    <w:rsid w:val="001557B5"/>
    <w:rsid w:val="00156787"/>
    <w:rsid w:val="00162DE5"/>
    <w:rsid w:val="00163122"/>
    <w:rsid w:val="00163DB8"/>
    <w:rsid w:val="00164BB3"/>
    <w:rsid w:val="00164F83"/>
    <w:rsid w:val="001658CA"/>
    <w:rsid w:val="0016745C"/>
    <w:rsid w:val="001700E6"/>
    <w:rsid w:val="001708F8"/>
    <w:rsid w:val="00171499"/>
    <w:rsid w:val="00172F07"/>
    <w:rsid w:val="00174E9A"/>
    <w:rsid w:val="0017517C"/>
    <w:rsid w:val="00186399"/>
    <w:rsid w:val="001871A2"/>
    <w:rsid w:val="00191B37"/>
    <w:rsid w:val="00197749"/>
    <w:rsid w:val="001A0DA7"/>
    <w:rsid w:val="001A2A6F"/>
    <w:rsid w:val="001A31E9"/>
    <w:rsid w:val="001A3D86"/>
    <w:rsid w:val="001A78F7"/>
    <w:rsid w:val="001B56BF"/>
    <w:rsid w:val="001B7162"/>
    <w:rsid w:val="001C0E3C"/>
    <w:rsid w:val="001C14C3"/>
    <w:rsid w:val="001C1984"/>
    <w:rsid w:val="001C2768"/>
    <w:rsid w:val="001C3571"/>
    <w:rsid w:val="001C6504"/>
    <w:rsid w:val="001D106E"/>
    <w:rsid w:val="001D2CDF"/>
    <w:rsid w:val="001D5C30"/>
    <w:rsid w:val="001E1EF5"/>
    <w:rsid w:val="001E5539"/>
    <w:rsid w:val="001F1BC8"/>
    <w:rsid w:val="001F1DA1"/>
    <w:rsid w:val="001F29F5"/>
    <w:rsid w:val="001F762D"/>
    <w:rsid w:val="001F7CB8"/>
    <w:rsid w:val="00204C76"/>
    <w:rsid w:val="00207F6A"/>
    <w:rsid w:val="002100DD"/>
    <w:rsid w:val="00220A31"/>
    <w:rsid w:val="00221891"/>
    <w:rsid w:val="0022379A"/>
    <w:rsid w:val="00231F2C"/>
    <w:rsid w:val="00233B84"/>
    <w:rsid w:val="00234F5C"/>
    <w:rsid w:val="00235C6A"/>
    <w:rsid w:val="0023638B"/>
    <w:rsid w:val="0023668D"/>
    <w:rsid w:val="00243B25"/>
    <w:rsid w:val="002441F7"/>
    <w:rsid w:val="00245D77"/>
    <w:rsid w:val="00246919"/>
    <w:rsid w:val="0024719A"/>
    <w:rsid w:val="00247A59"/>
    <w:rsid w:val="0025099A"/>
    <w:rsid w:val="00250C89"/>
    <w:rsid w:val="00252C79"/>
    <w:rsid w:val="00253678"/>
    <w:rsid w:val="00254E45"/>
    <w:rsid w:val="0025696D"/>
    <w:rsid w:val="002642F6"/>
    <w:rsid w:val="0027018C"/>
    <w:rsid w:val="002711A4"/>
    <w:rsid w:val="00271EA8"/>
    <w:rsid w:val="00273489"/>
    <w:rsid w:val="00273B9D"/>
    <w:rsid w:val="002752AA"/>
    <w:rsid w:val="00276BC6"/>
    <w:rsid w:val="00281D19"/>
    <w:rsid w:val="002823AC"/>
    <w:rsid w:val="00282B74"/>
    <w:rsid w:val="0028381D"/>
    <w:rsid w:val="00283FA4"/>
    <w:rsid w:val="00286FFD"/>
    <w:rsid w:val="00287204"/>
    <w:rsid w:val="002925B6"/>
    <w:rsid w:val="002944F7"/>
    <w:rsid w:val="00295F6A"/>
    <w:rsid w:val="0029662B"/>
    <w:rsid w:val="00296CD0"/>
    <w:rsid w:val="002979FC"/>
    <w:rsid w:val="00297D15"/>
    <w:rsid w:val="002B06D4"/>
    <w:rsid w:val="002B17D9"/>
    <w:rsid w:val="002B1833"/>
    <w:rsid w:val="002B1D76"/>
    <w:rsid w:val="002B6521"/>
    <w:rsid w:val="002B6BD3"/>
    <w:rsid w:val="002C1ADC"/>
    <w:rsid w:val="002C1EF9"/>
    <w:rsid w:val="002C2CCD"/>
    <w:rsid w:val="002C37A5"/>
    <w:rsid w:val="002C7C76"/>
    <w:rsid w:val="002D3330"/>
    <w:rsid w:val="002D4320"/>
    <w:rsid w:val="002D5A33"/>
    <w:rsid w:val="002E034E"/>
    <w:rsid w:val="002E08DE"/>
    <w:rsid w:val="002E0980"/>
    <w:rsid w:val="002E1946"/>
    <w:rsid w:val="002E731F"/>
    <w:rsid w:val="002F0EA5"/>
    <w:rsid w:val="002F2F31"/>
    <w:rsid w:val="002F3589"/>
    <w:rsid w:val="002F4610"/>
    <w:rsid w:val="002F5AD4"/>
    <w:rsid w:val="002F6B2E"/>
    <w:rsid w:val="002F7007"/>
    <w:rsid w:val="002F73D2"/>
    <w:rsid w:val="002F7B7B"/>
    <w:rsid w:val="003015E3"/>
    <w:rsid w:val="00304716"/>
    <w:rsid w:val="00304F5D"/>
    <w:rsid w:val="0030672A"/>
    <w:rsid w:val="003079C3"/>
    <w:rsid w:val="00312420"/>
    <w:rsid w:val="00314174"/>
    <w:rsid w:val="00320C8E"/>
    <w:rsid w:val="00323696"/>
    <w:rsid w:val="00323E25"/>
    <w:rsid w:val="003244B3"/>
    <w:rsid w:val="00326F8B"/>
    <w:rsid w:val="003308EA"/>
    <w:rsid w:val="00333DF9"/>
    <w:rsid w:val="00336F42"/>
    <w:rsid w:val="003412EC"/>
    <w:rsid w:val="003434D3"/>
    <w:rsid w:val="003446D9"/>
    <w:rsid w:val="00346787"/>
    <w:rsid w:val="00346C0A"/>
    <w:rsid w:val="003478FC"/>
    <w:rsid w:val="00350007"/>
    <w:rsid w:val="00350B04"/>
    <w:rsid w:val="00350D9D"/>
    <w:rsid w:val="00351F51"/>
    <w:rsid w:val="00352EBA"/>
    <w:rsid w:val="00353D4A"/>
    <w:rsid w:val="003564C3"/>
    <w:rsid w:val="003564FE"/>
    <w:rsid w:val="003621FE"/>
    <w:rsid w:val="00367139"/>
    <w:rsid w:val="00370A4A"/>
    <w:rsid w:val="00370EA5"/>
    <w:rsid w:val="00371F34"/>
    <w:rsid w:val="003743EA"/>
    <w:rsid w:val="00375323"/>
    <w:rsid w:val="0037705C"/>
    <w:rsid w:val="00384054"/>
    <w:rsid w:val="0038421A"/>
    <w:rsid w:val="003860EF"/>
    <w:rsid w:val="0038669D"/>
    <w:rsid w:val="003868CC"/>
    <w:rsid w:val="0038758C"/>
    <w:rsid w:val="00390118"/>
    <w:rsid w:val="003912A7"/>
    <w:rsid w:val="00391D79"/>
    <w:rsid w:val="003920C9"/>
    <w:rsid w:val="003A19BC"/>
    <w:rsid w:val="003A24CF"/>
    <w:rsid w:val="003A2E77"/>
    <w:rsid w:val="003A311D"/>
    <w:rsid w:val="003A3D23"/>
    <w:rsid w:val="003B40A6"/>
    <w:rsid w:val="003B57E5"/>
    <w:rsid w:val="003B7945"/>
    <w:rsid w:val="003C2936"/>
    <w:rsid w:val="003C3AB0"/>
    <w:rsid w:val="003C4204"/>
    <w:rsid w:val="003C6250"/>
    <w:rsid w:val="003C6663"/>
    <w:rsid w:val="003C7275"/>
    <w:rsid w:val="003D2128"/>
    <w:rsid w:val="003D240B"/>
    <w:rsid w:val="003D2F1C"/>
    <w:rsid w:val="003D37B1"/>
    <w:rsid w:val="003D56D7"/>
    <w:rsid w:val="003E3BFA"/>
    <w:rsid w:val="003E3FB4"/>
    <w:rsid w:val="003E4B9E"/>
    <w:rsid w:val="003E745A"/>
    <w:rsid w:val="003F0D46"/>
    <w:rsid w:val="003F4B4F"/>
    <w:rsid w:val="003F7746"/>
    <w:rsid w:val="0040090E"/>
    <w:rsid w:val="00400A96"/>
    <w:rsid w:val="004035AD"/>
    <w:rsid w:val="00404218"/>
    <w:rsid w:val="004053C2"/>
    <w:rsid w:val="00407908"/>
    <w:rsid w:val="004102D2"/>
    <w:rsid w:val="0041147E"/>
    <w:rsid w:val="00411768"/>
    <w:rsid w:val="00413902"/>
    <w:rsid w:val="00422093"/>
    <w:rsid w:val="00422262"/>
    <w:rsid w:val="00426418"/>
    <w:rsid w:val="004375A3"/>
    <w:rsid w:val="00440630"/>
    <w:rsid w:val="004424C2"/>
    <w:rsid w:val="00446CA0"/>
    <w:rsid w:val="004477A2"/>
    <w:rsid w:val="00450916"/>
    <w:rsid w:val="00451777"/>
    <w:rsid w:val="00451D55"/>
    <w:rsid w:val="0045290B"/>
    <w:rsid w:val="00452B64"/>
    <w:rsid w:val="00464ECD"/>
    <w:rsid w:val="004672BA"/>
    <w:rsid w:val="004673AD"/>
    <w:rsid w:val="004674FF"/>
    <w:rsid w:val="00467735"/>
    <w:rsid w:val="00467983"/>
    <w:rsid w:val="0047208D"/>
    <w:rsid w:val="0047385E"/>
    <w:rsid w:val="00476190"/>
    <w:rsid w:val="00480051"/>
    <w:rsid w:val="00482497"/>
    <w:rsid w:val="00482E18"/>
    <w:rsid w:val="004843CB"/>
    <w:rsid w:val="00485687"/>
    <w:rsid w:val="004915A6"/>
    <w:rsid w:val="00491C49"/>
    <w:rsid w:val="00492840"/>
    <w:rsid w:val="00492C4B"/>
    <w:rsid w:val="00493B65"/>
    <w:rsid w:val="00496CD6"/>
    <w:rsid w:val="004A053C"/>
    <w:rsid w:val="004A0621"/>
    <w:rsid w:val="004A2414"/>
    <w:rsid w:val="004A2D49"/>
    <w:rsid w:val="004A4349"/>
    <w:rsid w:val="004A489E"/>
    <w:rsid w:val="004B0099"/>
    <w:rsid w:val="004B129E"/>
    <w:rsid w:val="004B18DB"/>
    <w:rsid w:val="004B243C"/>
    <w:rsid w:val="004B59F9"/>
    <w:rsid w:val="004B6776"/>
    <w:rsid w:val="004B7B76"/>
    <w:rsid w:val="004C41D0"/>
    <w:rsid w:val="004D2DD4"/>
    <w:rsid w:val="004D3564"/>
    <w:rsid w:val="004D44D9"/>
    <w:rsid w:val="004D499F"/>
    <w:rsid w:val="004D49C9"/>
    <w:rsid w:val="004D588C"/>
    <w:rsid w:val="004D71AF"/>
    <w:rsid w:val="004E5616"/>
    <w:rsid w:val="004E7B5A"/>
    <w:rsid w:val="004F34D6"/>
    <w:rsid w:val="004F42FD"/>
    <w:rsid w:val="004F689C"/>
    <w:rsid w:val="004F6E05"/>
    <w:rsid w:val="00502084"/>
    <w:rsid w:val="00503523"/>
    <w:rsid w:val="005036DA"/>
    <w:rsid w:val="0050403C"/>
    <w:rsid w:val="00504497"/>
    <w:rsid w:val="00506119"/>
    <w:rsid w:val="005077A1"/>
    <w:rsid w:val="0051110C"/>
    <w:rsid w:val="00514931"/>
    <w:rsid w:val="00515726"/>
    <w:rsid w:val="00517513"/>
    <w:rsid w:val="00520173"/>
    <w:rsid w:val="00521189"/>
    <w:rsid w:val="00522961"/>
    <w:rsid w:val="00526B54"/>
    <w:rsid w:val="00527852"/>
    <w:rsid w:val="00530175"/>
    <w:rsid w:val="00531042"/>
    <w:rsid w:val="00532D1D"/>
    <w:rsid w:val="005331F2"/>
    <w:rsid w:val="00533923"/>
    <w:rsid w:val="0053497D"/>
    <w:rsid w:val="00535F58"/>
    <w:rsid w:val="005372DB"/>
    <w:rsid w:val="00543A4F"/>
    <w:rsid w:val="005442C7"/>
    <w:rsid w:val="00547F4E"/>
    <w:rsid w:val="00550680"/>
    <w:rsid w:val="0055074E"/>
    <w:rsid w:val="00550C17"/>
    <w:rsid w:val="00551B1B"/>
    <w:rsid w:val="00551FAD"/>
    <w:rsid w:val="005535C2"/>
    <w:rsid w:val="00553685"/>
    <w:rsid w:val="00554B6B"/>
    <w:rsid w:val="00556195"/>
    <w:rsid w:val="0055662E"/>
    <w:rsid w:val="00557E8D"/>
    <w:rsid w:val="00561109"/>
    <w:rsid w:val="005642F8"/>
    <w:rsid w:val="00564EFF"/>
    <w:rsid w:val="00565D61"/>
    <w:rsid w:val="00565D63"/>
    <w:rsid w:val="00566BAC"/>
    <w:rsid w:val="0056700D"/>
    <w:rsid w:val="00567BE1"/>
    <w:rsid w:val="00571E3A"/>
    <w:rsid w:val="0057474C"/>
    <w:rsid w:val="005823FC"/>
    <w:rsid w:val="00582F78"/>
    <w:rsid w:val="00590BE4"/>
    <w:rsid w:val="00590DE2"/>
    <w:rsid w:val="005927EA"/>
    <w:rsid w:val="00593CB8"/>
    <w:rsid w:val="005940E3"/>
    <w:rsid w:val="00595231"/>
    <w:rsid w:val="00595E95"/>
    <w:rsid w:val="00597B6A"/>
    <w:rsid w:val="005A069E"/>
    <w:rsid w:val="005A27C9"/>
    <w:rsid w:val="005A2A73"/>
    <w:rsid w:val="005A5373"/>
    <w:rsid w:val="005A7478"/>
    <w:rsid w:val="005B123E"/>
    <w:rsid w:val="005B26CF"/>
    <w:rsid w:val="005B34E0"/>
    <w:rsid w:val="005B5EAA"/>
    <w:rsid w:val="005B6378"/>
    <w:rsid w:val="005B6E30"/>
    <w:rsid w:val="005B7C84"/>
    <w:rsid w:val="005C2AC2"/>
    <w:rsid w:val="005C7CE6"/>
    <w:rsid w:val="005D18BD"/>
    <w:rsid w:val="005D2CFA"/>
    <w:rsid w:val="005E08DE"/>
    <w:rsid w:val="005E0EC8"/>
    <w:rsid w:val="005E5E77"/>
    <w:rsid w:val="005E71A6"/>
    <w:rsid w:val="005F00A5"/>
    <w:rsid w:val="005F0976"/>
    <w:rsid w:val="005F098A"/>
    <w:rsid w:val="005F1663"/>
    <w:rsid w:val="005F49CD"/>
    <w:rsid w:val="005F6EE2"/>
    <w:rsid w:val="006008C8"/>
    <w:rsid w:val="00601B5A"/>
    <w:rsid w:val="00602E6E"/>
    <w:rsid w:val="00604A9B"/>
    <w:rsid w:val="00605054"/>
    <w:rsid w:val="006056C5"/>
    <w:rsid w:val="0061164F"/>
    <w:rsid w:val="00613078"/>
    <w:rsid w:val="00613692"/>
    <w:rsid w:val="0061406D"/>
    <w:rsid w:val="006146F2"/>
    <w:rsid w:val="00615135"/>
    <w:rsid w:val="00623B86"/>
    <w:rsid w:val="0062589B"/>
    <w:rsid w:val="00625CCC"/>
    <w:rsid w:val="00627A18"/>
    <w:rsid w:val="00627C5C"/>
    <w:rsid w:val="00631E04"/>
    <w:rsid w:val="0063201C"/>
    <w:rsid w:val="0063356C"/>
    <w:rsid w:val="006356A5"/>
    <w:rsid w:val="00635F61"/>
    <w:rsid w:val="00642240"/>
    <w:rsid w:val="00646076"/>
    <w:rsid w:val="006474B3"/>
    <w:rsid w:val="00647E98"/>
    <w:rsid w:val="006501AB"/>
    <w:rsid w:val="006505DC"/>
    <w:rsid w:val="0065352F"/>
    <w:rsid w:val="006553E6"/>
    <w:rsid w:val="00657C2A"/>
    <w:rsid w:val="00657ECB"/>
    <w:rsid w:val="006620DC"/>
    <w:rsid w:val="0066234F"/>
    <w:rsid w:val="00662AFD"/>
    <w:rsid w:val="00663585"/>
    <w:rsid w:val="00664EA4"/>
    <w:rsid w:val="0066598E"/>
    <w:rsid w:val="00665C5A"/>
    <w:rsid w:val="00673E10"/>
    <w:rsid w:val="00674D1B"/>
    <w:rsid w:val="00680FDF"/>
    <w:rsid w:val="00683A57"/>
    <w:rsid w:val="00683F44"/>
    <w:rsid w:val="00685C74"/>
    <w:rsid w:val="006867CF"/>
    <w:rsid w:val="006901A0"/>
    <w:rsid w:val="006922AE"/>
    <w:rsid w:val="00692FE5"/>
    <w:rsid w:val="00694F21"/>
    <w:rsid w:val="00695BB5"/>
    <w:rsid w:val="00696812"/>
    <w:rsid w:val="00696E54"/>
    <w:rsid w:val="00697215"/>
    <w:rsid w:val="006A3F29"/>
    <w:rsid w:val="006A5070"/>
    <w:rsid w:val="006A6933"/>
    <w:rsid w:val="006B0EC6"/>
    <w:rsid w:val="006B15EA"/>
    <w:rsid w:val="006B15EC"/>
    <w:rsid w:val="006B47BB"/>
    <w:rsid w:val="006B4C1E"/>
    <w:rsid w:val="006B5527"/>
    <w:rsid w:val="006B5C9D"/>
    <w:rsid w:val="006B76D1"/>
    <w:rsid w:val="006B7721"/>
    <w:rsid w:val="006B7BCB"/>
    <w:rsid w:val="006C0FA7"/>
    <w:rsid w:val="006C3CB6"/>
    <w:rsid w:val="006C4FC8"/>
    <w:rsid w:val="006C6035"/>
    <w:rsid w:val="006C6805"/>
    <w:rsid w:val="006D041B"/>
    <w:rsid w:val="006D113E"/>
    <w:rsid w:val="006D5C30"/>
    <w:rsid w:val="006E05E6"/>
    <w:rsid w:val="006E1D39"/>
    <w:rsid w:val="006E1E45"/>
    <w:rsid w:val="006E2882"/>
    <w:rsid w:val="006E3004"/>
    <w:rsid w:val="006E44AE"/>
    <w:rsid w:val="006E5B42"/>
    <w:rsid w:val="006E5D96"/>
    <w:rsid w:val="006E7481"/>
    <w:rsid w:val="006F0E3B"/>
    <w:rsid w:val="006F2617"/>
    <w:rsid w:val="006F332D"/>
    <w:rsid w:val="006F33F0"/>
    <w:rsid w:val="006F3619"/>
    <w:rsid w:val="006F4E4A"/>
    <w:rsid w:val="006F5769"/>
    <w:rsid w:val="006F5962"/>
    <w:rsid w:val="006F6C19"/>
    <w:rsid w:val="006F7F78"/>
    <w:rsid w:val="007004C0"/>
    <w:rsid w:val="00701F3C"/>
    <w:rsid w:val="00703CE9"/>
    <w:rsid w:val="0070774E"/>
    <w:rsid w:val="0070781B"/>
    <w:rsid w:val="00710637"/>
    <w:rsid w:val="00710971"/>
    <w:rsid w:val="00715E31"/>
    <w:rsid w:val="007165A9"/>
    <w:rsid w:val="0072177F"/>
    <w:rsid w:val="00722C0E"/>
    <w:rsid w:val="00722DC9"/>
    <w:rsid w:val="00724960"/>
    <w:rsid w:val="00724C74"/>
    <w:rsid w:val="00724F15"/>
    <w:rsid w:val="007254B1"/>
    <w:rsid w:val="00727081"/>
    <w:rsid w:val="0073232A"/>
    <w:rsid w:val="00735559"/>
    <w:rsid w:val="00737D4B"/>
    <w:rsid w:val="007409EF"/>
    <w:rsid w:val="00743363"/>
    <w:rsid w:val="007457B5"/>
    <w:rsid w:val="00747867"/>
    <w:rsid w:val="007479D0"/>
    <w:rsid w:val="00750A73"/>
    <w:rsid w:val="0075137B"/>
    <w:rsid w:val="0075313A"/>
    <w:rsid w:val="007538B7"/>
    <w:rsid w:val="007542EF"/>
    <w:rsid w:val="00754765"/>
    <w:rsid w:val="007547F3"/>
    <w:rsid w:val="00755B2E"/>
    <w:rsid w:val="00755BF1"/>
    <w:rsid w:val="00757BDF"/>
    <w:rsid w:val="00761EE2"/>
    <w:rsid w:val="00762C57"/>
    <w:rsid w:val="00763AB9"/>
    <w:rsid w:val="00766C9D"/>
    <w:rsid w:val="0076761B"/>
    <w:rsid w:val="00771887"/>
    <w:rsid w:val="007733EA"/>
    <w:rsid w:val="00777102"/>
    <w:rsid w:val="0078007A"/>
    <w:rsid w:val="0078135E"/>
    <w:rsid w:val="00785456"/>
    <w:rsid w:val="00791636"/>
    <w:rsid w:val="00792F41"/>
    <w:rsid w:val="0079713F"/>
    <w:rsid w:val="007A5423"/>
    <w:rsid w:val="007B0441"/>
    <w:rsid w:val="007B0D79"/>
    <w:rsid w:val="007B1736"/>
    <w:rsid w:val="007B259A"/>
    <w:rsid w:val="007B50C2"/>
    <w:rsid w:val="007B5B67"/>
    <w:rsid w:val="007C26F7"/>
    <w:rsid w:val="007C2E17"/>
    <w:rsid w:val="007C40AC"/>
    <w:rsid w:val="007D32C3"/>
    <w:rsid w:val="007E02E7"/>
    <w:rsid w:val="007E1002"/>
    <w:rsid w:val="007E55A9"/>
    <w:rsid w:val="007E58AE"/>
    <w:rsid w:val="007E67C7"/>
    <w:rsid w:val="007E6F87"/>
    <w:rsid w:val="007E75FF"/>
    <w:rsid w:val="007F6FDA"/>
    <w:rsid w:val="008006A0"/>
    <w:rsid w:val="0080519B"/>
    <w:rsid w:val="00811164"/>
    <w:rsid w:val="008132AA"/>
    <w:rsid w:val="00813376"/>
    <w:rsid w:val="00813990"/>
    <w:rsid w:val="00817F6C"/>
    <w:rsid w:val="00821014"/>
    <w:rsid w:val="00823514"/>
    <w:rsid w:val="00826114"/>
    <w:rsid w:val="00831C25"/>
    <w:rsid w:val="008338D4"/>
    <w:rsid w:val="00833949"/>
    <w:rsid w:val="00836D27"/>
    <w:rsid w:val="00841010"/>
    <w:rsid w:val="008423E7"/>
    <w:rsid w:val="00844FF4"/>
    <w:rsid w:val="00845F90"/>
    <w:rsid w:val="00847E61"/>
    <w:rsid w:val="008510D6"/>
    <w:rsid w:val="008512FA"/>
    <w:rsid w:val="0085316F"/>
    <w:rsid w:val="0085399F"/>
    <w:rsid w:val="0085457D"/>
    <w:rsid w:val="008602B4"/>
    <w:rsid w:val="0086061F"/>
    <w:rsid w:val="00860A38"/>
    <w:rsid w:val="00860BDE"/>
    <w:rsid w:val="00861848"/>
    <w:rsid w:val="00864972"/>
    <w:rsid w:val="00866462"/>
    <w:rsid w:val="0086700E"/>
    <w:rsid w:val="00870AF9"/>
    <w:rsid w:val="00870CF4"/>
    <w:rsid w:val="0087362A"/>
    <w:rsid w:val="008737CF"/>
    <w:rsid w:val="008749E1"/>
    <w:rsid w:val="00874ABD"/>
    <w:rsid w:val="0087509C"/>
    <w:rsid w:val="00875752"/>
    <w:rsid w:val="008820F5"/>
    <w:rsid w:val="00884182"/>
    <w:rsid w:val="00884F2D"/>
    <w:rsid w:val="008856AA"/>
    <w:rsid w:val="00886515"/>
    <w:rsid w:val="00886655"/>
    <w:rsid w:val="0088684B"/>
    <w:rsid w:val="008A51A9"/>
    <w:rsid w:val="008A5B94"/>
    <w:rsid w:val="008A6FFE"/>
    <w:rsid w:val="008A7167"/>
    <w:rsid w:val="008B0C88"/>
    <w:rsid w:val="008B0E54"/>
    <w:rsid w:val="008B1CA1"/>
    <w:rsid w:val="008B2CCD"/>
    <w:rsid w:val="008C096E"/>
    <w:rsid w:val="008C2338"/>
    <w:rsid w:val="008C267B"/>
    <w:rsid w:val="008C3C57"/>
    <w:rsid w:val="008C4381"/>
    <w:rsid w:val="008C4A15"/>
    <w:rsid w:val="008C4D6B"/>
    <w:rsid w:val="008C712A"/>
    <w:rsid w:val="008D19A8"/>
    <w:rsid w:val="008D1B75"/>
    <w:rsid w:val="008D1D00"/>
    <w:rsid w:val="008D586B"/>
    <w:rsid w:val="008D6CCE"/>
    <w:rsid w:val="008D75F8"/>
    <w:rsid w:val="008E636E"/>
    <w:rsid w:val="008E7F12"/>
    <w:rsid w:val="008F5F04"/>
    <w:rsid w:val="009127A0"/>
    <w:rsid w:val="00912D6D"/>
    <w:rsid w:val="00913E48"/>
    <w:rsid w:val="00915698"/>
    <w:rsid w:val="00917707"/>
    <w:rsid w:val="00920A98"/>
    <w:rsid w:val="00920B13"/>
    <w:rsid w:val="0092177F"/>
    <w:rsid w:val="00922595"/>
    <w:rsid w:val="0092465F"/>
    <w:rsid w:val="00925D0E"/>
    <w:rsid w:val="00931158"/>
    <w:rsid w:val="00936AA8"/>
    <w:rsid w:val="00940484"/>
    <w:rsid w:val="00940BBC"/>
    <w:rsid w:val="00942018"/>
    <w:rsid w:val="00945E73"/>
    <w:rsid w:val="0095343C"/>
    <w:rsid w:val="0096162C"/>
    <w:rsid w:val="00961DC6"/>
    <w:rsid w:val="00972AA1"/>
    <w:rsid w:val="00973BEF"/>
    <w:rsid w:val="00974404"/>
    <w:rsid w:val="00975E15"/>
    <w:rsid w:val="0097685E"/>
    <w:rsid w:val="00980C6E"/>
    <w:rsid w:val="0098110A"/>
    <w:rsid w:val="00981855"/>
    <w:rsid w:val="009832C3"/>
    <w:rsid w:val="00984821"/>
    <w:rsid w:val="00987A47"/>
    <w:rsid w:val="00990EB2"/>
    <w:rsid w:val="009915CB"/>
    <w:rsid w:val="009954DA"/>
    <w:rsid w:val="009955BF"/>
    <w:rsid w:val="00996E54"/>
    <w:rsid w:val="009A1E26"/>
    <w:rsid w:val="009A415D"/>
    <w:rsid w:val="009A42E8"/>
    <w:rsid w:val="009A7384"/>
    <w:rsid w:val="009B29C9"/>
    <w:rsid w:val="009B34A7"/>
    <w:rsid w:val="009B3A4E"/>
    <w:rsid w:val="009B408C"/>
    <w:rsid w:val="009B6F85"/>
    <w:rsid w:val="009B7EFF"/>
    <w:rsid w:val="009C026B"/>
    <w:rsid w:val="009C0A86"/>
    <w:rsid w:val="009C0AAA"/>
    <w:rsid w:val="009C0F42"/>
    <w:rsid w:val="009D2765"/>
    <w:rsid w:val="009D53E7"/>
    <w:rsid w:val="009D59EF"/>
    <w:rsid w:val="009D754F"/>
    <w:rsid w:val="009E036E"/>
    <w:rsid w:val="009E1B28"/>
    <w:rsid w:val="009E6EB0"/>
    <w:rsid w:val="00A0085E"/>
    <w:rsid w:val="00A0110F"/>
    <w:rsid w:val="00A0179C"/>
    <w:rsid w:val="00A024B3"/>
    <w:rsid w:val="00A0265A"/>
    <w:rsid w:val="00A0419F"/>
    <w:rsid w:val="00A055A3"/>
    <w:rsid w:val="00A05FDC"/>
    <w:rsid w:val="00A06DE9"/>
    <w:rsid w:val="00A07780"/>
    <w:rsid w:val="00A12426"/>
    <w:rsid w:val="00A12AF4"/>
    <w:rsid w:val="00A140FC"/>
    <w:rsid w:val="00A2185B"/>
    <w:rsid w:val="00A241FA"/>
    <w:rsid w:val="00A25C67"/>
    <w:rsid w:val="00A26516"/>
    <w:rsid w:val="00A26E78"/>
    <w:rsid w:val="00A30694"/>
    <w:rsid w:val="00A30E65"/>
    <w:rsid w:val="00A36195"/>
    <w:rsid w:val="00A375DB"/>
    <w:rsid w:val="00A4029E"/>
    <w:rsid w:val="00A40582"/>
    <w:rsid w:val="00A40921"/>
    <w:rsid w:val="00A43DA1"/>
    <w:rsid w:val="00A45F5E"/>
    <w:rsid w:val="00A461F7"/>
    <w:rsid w:val="00A46577"/>
    <w:rsid w:val="00A52C18"/>
    <w:rsid w:val="00A52E08"/>
    <w:rsid w:val="00A61FE6"/>
    <w:rsid w:val="00A63B3F"/>
    <w:rsid w:val="00A63C1E"/>
    <w:rsid w:val="00A64870"/>
    <w:rsid w:val="00A66492"/>
    <w:rsid w:val="00A7423F"/>
    <w:rsid w:val="00A762EC"/>
    <w:rsid w:val="00A82758"/>
    <w:rsid w:val="00A8342B"/>
    <w:rsid w:val="00A835BB"/>
    <w:rsid w:val="00A838B5"/>
    <w:rsid w:val="00A83E17"/>
    <w:rsid w:val="00A84912"/>
    <w:rsid w:val="00A87D46"/>
    <w:rsid w:val="00A9301D"/>
    <w:rsid w:val="00A93454"/>
    <w:rsid w:val="00A93FDD"/>
    <w:rsid w:val="00A943A8"/>
    <w:rsid w:val="00A94460"/>
    <w:rsid w:val="00A957A2"/>
    <w:rsid w:val="00A95834"/>
    <w:rsid w:val="00AA052F"/>
    <w:rsid w:val="00AA40C2"/>
    <w:rsid w:val="00AB0D0C"/>
    <w:rsid w:val="00AB4425"/>
    <w:rsid w:val="00AB638D"/>
    <w:rsid w:val="00AB7800"/>
    <w:rsid w:val="00AC35FA"/>
    <w:rsid w:val="00AC39D0"/>
    <w:rsid w:val="00AC4B52"/>
    <w:rsid w:val="00AC5D08"/>
    <w:rsid w:val="00AD1194"/>
    <w:rsid w:val="00AD1426"/>
    <w:rsid w:val="00AD14A9"/>
    <w:rsid w:val="00AD42E7"/>
    <w:rsid w:val="00AD4D54"/>
    <w:rsid w:val="00AD6614"/>
    <w:rsid w:val="00AD72CA"/>
    <w:rsid w:val="00AE1FB1"/>
    <w:rsid w:val="00AE3EB4"/>
    <w:rsid w:val="00AE5A55"/>
    <w:rsid w:val="00AE7208"/>
    <w:rsid w:val="00AF0638"/>
    <w:rsid w:val="00AF2604"/>
    <w:rsid w:val="00AF4EF2"/>
    <w:rsid w:val="00AF5F64"/>
    <w:rsid w:val="00AF6C6D"/>
    <w:rsid w:val="00B001C4"/>
    <w:rsid w:val="00B00836"/>
    <w:rsid w:val="00B009E6"/>
    <w:rsid w:val="00B014FF"/>
    <w:rsid w:val="00B018E0"/>
    <w:rsid w:val="00B03246"/>
    <w:rsid w:val="00B0374C"/>
    <w:rsid w:val="00B05D32"/>
    <w:rsid w:val="00B0604F"/>
    <w:rsid w:val="00B1014F"/>
    <w:rsid w:val="00B11611"/>
    <w:rsid w:val="00B12230"/>
    <w:rsid w:val="00B12AC9"/>
    <w:rsid w:val="00B15574"/>
    <w:rsid w:val="00B20028"/>
    <w:rsid w:val="00B22750"/>
    <w:rsid w:val="00B24424"/>
    <w:rsid w:val="00B24C1D"/>
    <w:rsid w:val="00B3059A"/>
    <w:rsid w:val="00B30736"/>
    <w:rsid w:val="00B33524"/>
    <w:rsid w:val="00B517F2"/>
    <w:rsid w:val="00B54CE9"/>
    <w:rsid w:val="00B550E8"/>
    <w:rsid w:val="00B64E38"/>
    <w:rsid w:val="00B677F3"/>
    <w:rsid w:val="00B706EE"/>
    <w:rsid w:val="00B70C05"/>
    <w:rsid w:val="00B724EB"/>
    <w:rsid w:val="00B72AC5"/>
    <w:rsid w:val="00B7771A"/>
    <w:rsid w:val="00B8196F"/>
    <w:rsid w:val="00B90B5A"/>
    <w:rsid w:val="00B92E45"/>
    <w:rsid w:val="00B95AA6"/>
    <w:rsid w:val="00B9628A"/>
    <w:rsid w:val="00B96FEB"/>
    <w:rsid w:val="00BA01DF"/>
    <w:rsid w:val="00BA3012"/>
    <w:rsid w:val="00BA31E2"/>
    <w:rsid w:val="00BA5C80"/>
    <w:rsid w:val="00BB0C26"/>
    <w:rsid w:val="00BB1208"/>
    <w:rsid w:val="00BB1BD8"/>
    <w:rsid w:val="00BB2B6F"/>
    <w:rsid w:val="00BB2F65"/>
    <w:rsid w:val="00BB36F1"/>
    <w:rsid w:val="00BB462D"/>
    <w:rsid w:val="00BB6B49"/>
    <w:rsid w:val="00BB7747"/>
    <w:rsid w:val="00BC0879"/>
    <w:rsid w:val="00BC1A8A"/>
    <w:rsid w:val="00BC4746"/>
    <w:rsid w:val="00BC5F57"/>
    <w:rsid w:val="00BC69C4"/>
    <w:rsid w:val="00BD0115"/>
    <w:rsid w:val="00BD012B"/>
    <w:rsid w:val="00BD094B"/>
    <w:rsid w:val="00BD0E8A"/>
    <w:rsid w:val="00BD1FD7"/>
    <w:rsid w:val="00BD2F15"/>
    <w:rsid w:val="00BD4910"/>
    <w:rsid w:val="00BD4AC4"/>
    <w:rsid w:val="00BD65AC"/>
    <w:rsid w:val="00BD7F26"/>
    <w:rsid w:val="00BE0B5A"/>
    <w:rsid w:val="00BE0FAF"/>
    <w:rsid w:val="00BE1587"/>
    <w:rsid w:val="00BF1227"/>
    <w:rsid w:val="00BF3E03"/>
    <w:rsid w:val="00BF6DA8"/>
    <w:rsid w:val="00C01937"/>
    <w:rsid w:val="00C036F0"/>
    <w:rsid w:val="00C05349"/>
    <w:rsid w:val="00C058E3"/>
    <w:rsid w:val="00C10861"/>
    <w:rsid w:val="00C165B4"/>
    <w:rsid w:val="00C27F26"/>
    <w:rsid w:val="00C37494"/>
    <w:rsid w:val="00C41286"/>
    <w:rsid w:val="00C4212D"/>
    <w:rsid w:val="00C44D7E"/>
    <w:rsid w:val="00C450EE"/>
    <w:rsid w:val="00C464DC"/>
    <w:rsid w:val="00C502E3"/>
    <w:rsid w:val="00C51E15"/>
    <w:rsid w:val="00C531F9"/>
    <w:rsid w:val="00C538E9"/>
    <w:rsid w:val="00C539F3"/>
    <w:rsid w:val="00C53A5E"/>
    <w:rsid w:val="00C5566C"/>
    <w:rsid w:val="00C60AB1"/>
    <w:rsid w:val="00C643B5"/>
    <w:rsid w:val="00C64EE5"/>
    <w:rsid w:val="00C66F94"/>
    <w:rsid w:val="00C67E9B"/>
    <w:rsid w:val="00C7105E"/>
    <w:rsid w:val="00C72CB1"/>
    <w:rsid w:val="00C74465"/>
    <w:rsid w:val="00C75F12"/>
    <w:rsid w:val="00C76E49"/>
    <w:rsid w:val="00C81092"/>
    <w:rsid w:val="00C82980"/>
    <w:rsid w:val="00C86283"/>
    <w:rsid w:val="00C975CC"/>
    <w:rsid w:val="00CA1F4D"/>
    <w:rsid w:val="00CA5D56"/>
    <w:rsid w:val="00CA6151"/>
    <w:rsid w:val="00CA64B4"/>
    <w:rsid w:val="00CA6879"/>
    <w:rsid w:val="00CA72A2"/>
    <w:rsid w:val="00CA7DBA"/>
    <w:rsid w:val="00CA7FE1"/>
    <w:rsid w:val="00CB05B6"/>
    <w:rsid w:val="00CB1E47"/>
    <w:rsid w:val="00CB24E3"/>
    <w:rsid w:val="00CC1B30"/>
    <w:rsid w:val="00CC36B6"/>
    <w:rsid w:val="00CC6137"/>
    <w:rsid w:val="00CC65C9"/>
    <w:rsid w:val="00CC67E2"/>
    <w:rsid w:val="00CD21A0"/>
    <w:rsid w:val="00CD28F4"/>
    <w:rsid w:val="00CD664E"/>
    <w:rsid w:val="00CE0D5A"/>
    <w:rsid w:val="00CE1CB2"/>
    <w:rsid w:val="00CE1FC7"/>
    <w:rsid w:val="00CE2CCF"/>
    <w:rsid w:val="00CE3A25"/>
    <w:rsid w:val="00CE3BC9"/>
    <w:rsid w:val="00CE601A"/>
    <w:rsid w:val="00CF1FE4"/>
    <w:rsid w:val="00CF4796"/>
    <w:rsid w:val="00D004EE"/>
    <w:rsid w:val="00D016A2"/>
    <w:rsid w:val="00D03468"/>
    <w:rsid w:val="00D03D75"/>
    <w:rsid w:val="00D05EC9"/>
    <w:rsid w:val="00D06110"/>
    <w:rsid w:val="00D07710"/>
    <w:rsid w:val="00D11140"/>
    <w:rsid w:val="00D136D7"/>
    <w:rsid w:val="00D13BE9"/>
    <w:rsid w:val="00D16994"/>
    <w:rsid w:val="00D16FBC"/>
    <w:rsid w:val="00D177F7"/>
    <w:rsid w:val="00D178DC"/>
    <w:rsid w:val="00D208C5"/>
    <w:rsid w:val="00D266D5"/>
    <w:rsid w:val="00D27E8F"/>
    <w:rsid w:val="00D3074B"/>
    <w:rsid w:val="00D31B3F"/>
    <w:rsid w:val="00D337CE"/>
    <w:rsid w:val="00D34577"/>
    <w:rsid w:val="00D3459D"/>
    <w:rsid w:val="00D36A01"/>
    <w:rsid w:val="00D41DC9"/>
    <w:rsid w:val="00D44053"/>
    <w:rsid w:val="00D45673"/>
    <w:rsid w:val="00D4678F"/>
    <w:rsid w:val="00D46E2B"/>
    <w:rsid w:val="00D470D5"/>
    <w:rsid w:val="00D521EB"/>
    <w:rsid w:val="00D52E9C"/>
    <w:rsid w:val="00D54E31"/>
    <w:rsid w:val="00D5535D"/>
    <w:rsid w:val="00D568F6"/>
    <w:rsid w:val="00D574B6"/>
    <w:rsid w:val="00D57FE4"/>
    <w:rsid w:val="00D61837"/>
    <w:rsid w:val="00D63EC8"/>
    <w:rsid w:val="00D641F8"/>
    <w:rsid w:val="00D64816"/>
    <w:rsid w:val="00D67C5C"/>
    <w:rsid w:val="00D728B3"/>
    <w:rsid w:val="00D72E2B"/>
    <w:rsid w:val="00D732AC"/>
    <w:rsid w:val="00D74B16"/>
    <w:rsid w:val="00D74B60"/>
    <w:rsid w:val="00D74CFC"/>
    <w:rsid w:val="00D83407"/>
    <w:rsid w:val="00D87371"/>
    <w:rsid w:val="00D93106"/>
    <w:rsid w:val="00D94284"/>
    <w:rsid w:val="00D9682C"/>
    <w:rsid w:val="00D96B3C"/>
    <w:rsid w:val="00D97AD1"/>
    <w:rsid w:val="00D97DEF"/>
    <w:rsid w:val="00D97E9A"/>
    <w:rsid w:val="00DA2D6E"/>
    <w:rsid w:val="00DA4710"/>
    <w:rsid w:val="00DA48E9"/>
    <w:rsid w:val="00DA53FE"/>
    <w:rsid w:val="00DA6457"/>
    <w:rsid w:val="00DB1126"/>
    <w:rsid w:val="00DB29E3"/>
    <w:rsid w:val="00DB2FF1"/>
    <w:rsid w:val="00DB491F"/>
    <w:rsid w:val="00DC16F0"/>
    <w:rsid w:val="00DC37E8"/>
    <w:rsid w:val="00DC47F1"/>
    <w:rsid w:val="00DC4C86"/>
    <w:rsid w:val="00DC5169"/>
    <w:rsid w:val="00DC5310"/>
    <w:rsid w:val="00DC7923"/>
    <w:rsid w:val="00DC7B1F"/>
    <w:rsid w:val="00DD273E"/>
    <w:rsid w:val="00DD30FA"/>
    <w:rsid w:val="00DE0146"/>
    <w:rsid w:val="00DE0266"/>
    <w:rsid w:val="00DE3B33"/>
    <w:rsid w:val="00DE4BC9"/>
    <w:rsid w:val="00DE6D56"/>
    <w:rsid w:val="00DF15CD"/>
    <w:rsid w:val="00DF2023"/>
    <w:rsid w:val="00DF3BE5"/>
    <w:rsid w:val="00DF3E99"/>
    <w:rsid w:val="00DF3F58"/>
    <w:rsid w:val="00DF590B"/>
    <w:rsid w:val="00DF5F01"/>
    <w:rsid w:val="00DF610E"/>
    <w:rsid w:val="00DF7A43"/>
    <w:rsid w:val="00E00497"/>
    <w:rsid w:val="00E06023"/>
    <w:rsid w:val="00E111FE"/>
    <w:rsid w:val="00E12DDE"/>
    <w:rsid w:val="00E13A50"/>
    <w:rsid w:val="00E14B79"/>
    <w:rsid w:val="00E16749"/>
    <w:rsid w:val="00E167BE"/>
    <w:rsid w:val="00E21053"/>
    <w:rsid w:val="00E241BF"/>
    <w:rsid w:val="00E27EC7"/>
    <w:rsid w:val="00E33CFF"/>
    <w:rsid w:val="00E35CAF"/>
    <w:rsid w:val="00E36D7F"/>
    <w:rsid w:val="00E37AFD"/>
    <w:rsid w:val="00E401C6"/>
    <w:rsid w:val="00E45520"/>
    <w:rsid w:val="00E4557F"/>
    <w:rsid w:val="00E50959"/>
    <w:rsid w:val="00E50F1A"/>
    <w:rsid w:val="00E52151"/>
    <w:rsid w:val="00E52463"/>
    <w:rsid w:val="00E54A2E"/>
    <w:rsid w:val="00E55143"/>
    <w:rsid w:val="00E57E40"/>
    <w:rsid w:val="00E67194"/>
    <w:rsid w:val="00E67959"/>
    <w:rsid w:val="00E73BAE"/>
    <w:rsid w:val="00E75B59"/>
    <w:rsid w:val="00E7760C"/>
    <w:rsid w:val="00E81C20"/>
    <w:rsid w:val="00E8557F"/>
    <w:rsid w:val="00E86D2B"/>
    <w:rsid w:val="00E87263"/>
    <w:rsid w:val="00E9127A"/>
    <w:rsid w:val="00E94C0D"/>
    <w:rsid w:val="00E963C6"/>
    <w:rsid w:val="00E9705E"/>
    <w:rsid w:val="00EA20A1"/>
    <w:rsid w:val="00EA3D18"/>
    <w:rsid w:val="00EA5AB8"/>
    <w:rsid w:val="00EA74A5"/>
    <w:rsid w:val="00EA77B2"/>
    <w:rsid w:val="00EB0B1B"/>
    <w:rsid w:val="00EB32DF"/>
    <w:rsid w:val="00EB4CD0"/>
    <w:rsid w:val="00EB57C1"/>
    <w:rsid w:val="00EB6CB5"/>
    <w:rsid w:val="00EC3DB6"/>
    <w:rsid w:val="00ED16F4"/>
    <w:rsid w:val="00ED4159"/>
    <w:rsid w:val="00ED783B"/>
    <w:rsid w:val="00EE0BC2"/>
    <w:rsid w:val="00EE1132"/>
    <w:rsid w:val="00EE502E"/>
    <w:rsid w:val="00EF2022"/>
    <w:rsid w:val="00EF2484"/>
    <w:rsid w:val="00EF353C"/>
    <w:rsid w:val="00EF78F0"/>
    <w:rsid w:val="00EF7E30"/>
    <w:rsid w:val="00F01D7D"/>
    <w:rsid w:val="00F10B3E"/>
    <w:rsid w:val="00F11B07"/>
    <w:rsid w:val="00F11D9A"/>
    <w:rsid w:val="00F14977"/>
    <w:rsid w:val="00F14D0B"/>
    <w:rsid w:val="00F16B86"/>
    <w:rsid w:val="00F21020"/>
    <w:rsid w:val="00F21061"/>
    <w:rsid w:val="00F24308"/>
    <w:rsid w:val="00F31DA5"/>
    <w:rsid w:val="00F338D4"/>
    <w:rsid w:val="00F36D06"/>
    <w:rsid w:val="00F4179F"/>
    <w:rsid w:val="00F42F17"/>
    <w:rsid w:val="00F434A3"/>
    <w:rsid w:val="00F43F56"/>
    <w:rsid w:val="00F44C20"/>
    <w:rsid w:val="00F46FBD"/>
    <w:rsid w:val="00F506E1"/>
    <w:rsid w:val="00F50DA7"/>
    <w:rsid w:val="00F526E8"/>
    <w:rsid w:val="00F534BA"/>
    <w:rsid w:val="00F56E8D"/>
    <w:rsid w:val="00F577CE"/>
    <w:rsid w:val="00F601AF"/>
    <w:rsid w:val="00F61EB0"/>
    <w:rsid w:val="00F64C80"/>
    <w:rsid w:val="00F65936"/>
    <w:rsid w:val="00F70B93"/>
    <w:rsid w:val="00F72C51"/>
    <w:rsid w:val="00F75C71"/>
    <w:rsid w:val="00F77F34"/>
    <w:rsid w:val="00F80BC5"/>
    <w:rsid w:val="00F81F3D"/>
    <w:rsid w:val="00F83CD2"/>
    <w:rsid w:val="00F8660E"/>
    <w:rsid w:val="00F87F0A"/>
    <w:rsid w:val="00F94A8F"/>
    <w:rsid w:val="00F95671"/>
    <w:rsid w:val="00F95F4F"/>
    <w:rsid w:val="00FA2284"/>
    <w:rsid w:val="00FA3394"/>
    <w:rsid w:val="00FA599D"/>
    <w:rsid w:val="00FA786B"/>
    <w:rsid w:val="00FA7D0A"/>
    <w:rsid w:val="00FB178C"/>
    <w:rsid w:val="00FB1C0C"/>
    <w:rsid w:val="00FB3D63"/>
    <w:rsid w:val="00FB4D67"/>
    <w:rsid w:val="00FB7F57"/>
    <w:rsid w:val="00FC33FD"/>
    <w:rsid w:val="00FC3D7F"/>
    <w:rsid w:val="00FC63E8"/>
    <w:rsid w:val="00FC7C5F"/>
    <w:rsid w:val="00FD1D1A"/>
    <w:rsid w:val="00FD4F0F"/>
    <w:rsid w:val="00FD610F"/>
    <w:rsid w:val="00FD726B"/>
    <w:rsid w:val="00FE07E9"/>
    <w:rsid w:val="00FE2FF0"/>
    <w:rsid w:val="00FE6979"/>
    <w:rsid w:val="00FF05C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aramond" w:eastAsia="Times New Roman" w:hAnsi="Garamond"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envelope return" w:uiPriority="0"/>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E26"/>
    <w:pPr>
      <w:widowControl w:val="0"/>
      <w:suppressAutoHyphens/>
    </w:pPr>
    <w:rPr>
      <w:sz w:val="24"/>
      <w:szCs w:val="24"/>
    </w:rPr>
  </w:style>
  <w:style w:type="paragraph" w:styleId="Heading1">
    <w:name w:val="heading 1"/>
    <w:basedOn w:val="Heading"/>
    <w:next w:val="BodyText"/>
    <w:link w:val="Heading1Char"/>
    <w:qFormat/>
    <w:rsid w:val="009A1E26"/>
    <w:pPr>
      <w:tabs>
        <w:tab w:val="num" w:pos="0"/>
      </w:tabs>
      <w:outlineLvl w:val="0"/>
    </w:pPr>
    <w:rPr>
      <w:rFonts w:ascii="Thorndale" w:hAnsi="Thorndale"/>
      <w:b/>
      <w:bCs/>
      <w:sz w:val="32"/>
      <w:szCs w:val="32"/>
    </w:rPr>
  </w:style>
  <w:style w:type="paragraph" w:styleId="Heading2">
    <w:name w:val="heading 2"/>
    <w:basedOn w:val="Heading"/>
    <w:next w:val="BodyText"/>
    <w:link w:val="Heading2Char"/>
    <w:qFormat/>
    <w:rsid w:val="009A1E26"/>
    <w:pPr>
      <w:tabs>
        <w:tab w:val="num" w:pos="0"/>
      </w:tabs>
      <w:outlineLvl w:val="1"/>
    </w:pPr>
    <w:rPr>
      <w:b/>
      <w:bCs/>
      <w:i/>
      <w:iCs/>
    </w:rPr>
  </w:style>
  <w:style w:type="paragraph" w:styleId="Heading3">
    <w:name w:val="heading 3"/>
    <w:basedOn w:val="Heading"/>
    <w:next w:val="BodyText"/>
    <w:link w:val="Heading3Char"/>
    <w:qFormat/>
    <w:rsid w:val="009A1E26"/>
    <w:pPr>
      <w:tabs>
        <w:tab w:val="num" w:pos="0"/>
      </w:tabs>
      <w:outlineLvl w:val="2"/>
    </w:pPr>
    <w:rPr>
      <w:b/>
      <w:bCs/>
      <w:sz w:val="26"/>
      <w:szCs w:val="26"/>
    </w:rPr>
  </w:style>
  <w:style w:type="paragraph" w:styleId="Heading4">
    <w:name w:val="heading 4"/>
    <w:basedOn w:val="Heading"/>
    <w:next w:val="BodyText"/>
    <w:link w:val="Heading4Char"/>
    <w:qFormat/>
    <w:rsid w:val="009A1E26"/>
    <w:pPr>
      <w:tabs>
        <w:tab w:val="num" w:pos="0"/>
      </w:tabs>
      <w:outlineLvl w:val="3"/>
    </w:pPr>
    <w:rPr>
      <w:b/>
      <w:bCs/>
      <w:i/>
      <w:iCs/>
      <w:sz w:val="24"/>
      <w:szCs w:val="24"/>
    </w:rPr>
  </w:style>
  <w:style w:type="paragraph" w:styleId="Heading5">
    <w:name w:val="heading 5"/>
    <w:basedOn w:val="Heading"/>
    <w:next w:val="BodyText"/>
    <w:link w:val="Heading5Char"/>
    <w:qFormat/>
    <w:rsid w:val="009A1E26"/>
    <w:pPr>
      <w:tabs>
        <w:tab w:val="num" w:pos="0"/>
      </w:tabs>
      <w:outlineLvl w:val="4"/>
    </w:pPr>
    <w:rPr>
      <w:b/>
      <w:bCs/>
      <w:sz w:val="22"/>
      <w:szCs w:val="22"/>
    </w:rPr>
  </w:style>
  <w:style w:type="paragraph" w:styleId="Heading6">
    <w:name w:val="heading 6"/>
    <w:basedOn w:val="Heading"/>
    <w:next w:val="BodyText"/>
    <w:link w:val="Heading6Char"/>
    <w:qFormat/>
    <w:rsid w:val="009A1E26"/>
    <w:pPr>
      <w:tabs>
        <w:tab w:val="num" w:pos="0"/>
      </w:tabs>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rsid w:val="009A1E26"/>
  </w:style>
  <w:style w:type="character" w:customStyle="1" w:styleId="FootnoteCharacters">
    <w:name w:val="Footnote Characters"/>
    <w:rsid w:val="009A1E26"/>
  </w:style>
  <w:style w:type="character" w:styleId="Hyperlink">
    <w:name w:val="Hyperlink"/>
    <w:rsid w:val="009A1E26"/>
    <w:rPr>
      <w:color w:val="000080"/>
      <w:u w:val="single"/>
    </w:rPr>
  </w:style>
  <w:style w:type="character" w:styleId="FootnoteReference">
    <w:name w:val="footnote reference"/>
    <w:semiHidden/>
    <w:rsid w:val="009A1E26"/>
    <w:rPr>
      <w:vertAlign w:val="superscript"/>
    </w:rPr>
  </w:style>
  <w:style w:type="character" w:styleId="EndnoteReference">
    <w:name w:val="endnote reference"/>
    <w:semiHidden/>
    <w:rsid w:val="009A1E26"/>
    <w:rPr>
      <w:vertAlign w:val="superscript"/>
    </w:rPr>
  </w:style>
  <w:style w:type="paragraph" w:customStyle="1" w:styleId="Heading">
    <w:name w:val="Heading"/>
    <w:basedOn w:val="Normal"/>
    <w:next w:val="BodyText"/>
    <w:rsid w:val="009A1E26"/>
    <w:pPr>
      <w:keepNext/>
      <w:spacing w:before="240" w:after="283"/>
    </w:pPr>
    <w:rPr>
      <w:rFonts w:ascii="Albany" w:eastAsia="HG Mincho Light J" w:hAnsi="Albany" w:cs="Arial Unicode MS"/>
      <w:sz w:val="28"/>
      <w:szCs w:val="28"/>
    </w:rPr>
  </w:style>
  <w:style w:type="paragraph" w:styleId="BodyText">
    <w:name w:val="Body Text"/>
    <w:basedOn w:val="Normal"/>
    <w:link w:val="BodyTextChar"/>
    <w:semiHidden/>
    <w:rsid w:val="009A1E26"/>
  </w:style>
  <w:style w:type="paragraph" w:styleId="List">
    <w:name w:val="List"/>
    <w:basedOn w:val="BodyText"/>
    <w:semiHidden/>
    <w:rsid w:val="009A1E26"/>
  </w:style>
  <w:style w:type="paragraph" w:styleId="Caption">
    <w:name w:val="caption"/>
    <w:basedOn w:val="Normal"/>
    <w:qFormat/>
    <w:rsid w:val="009A1E26"/>
    <w:pPr>
      <w:suppressLineNumbers/>
      <w:spacing w:before="120" w:after="120"/>
    </w:pPr>
    <w:rPr>
      <w:i/>
      <w:iCs/>
    </w:rPr>
  </w:style>
  <w:style w:type="paragraph" w:customStyle="1" w:styleId="Index">
    <w:name w:val="Index"/>
    <w:basedOn w:val="Normal"/>
    <w:rsid w:val="009A1E26"/>
    <w:pPr>
      <w:suppressLineNumbers/>
    </w:pPr>
  </w:style>
  <w:style w:type="paragraph" w:customStyle="1" w:styleId="HorizontalLine">
    <w:name w:val="Horizontal Line"/>
    <w:basedOn w:val="Normal"/>
    <w:next w:val="BodyText"/>
    <w:rsid w:val="009A1E26"/>
    <w:pPr>
      <w:pBdr>
        <w:bottom w:val="double" w:sz="1" w:space="0" w:color="808080"/>
      </w:pBdr>
      <w:spacing w:after="283"/>
    </w:pPr>
    <w:rPr>
      <w:sz w:val="12"/>
    </w:rPr>
  </w:style>
  <w:style w:type="paragraph" w:styleId="EnvelopeReturn">
    <w:name w:val="envelope return"/>
    <w:basedOn w:val="Normal"/>
    <w:semiHidden/>
    <w:rsid w:val="009A1E26"/>
    <w:rPr>
      <w:i/>
    </w:rPr>
  </w:style>
  <w:style w:type="paragraph" w:customStyle="1" w:styleId="TableContents">
    <w:name w:val="Table Contents"/>
    <w:basedOn w:val="BodyText"/>
    <w:rsid w:val="009A1E26"/>
  </w:style>
  <w:style w:type="paragraph" w:styleId="Footer">
    <w:name w:val="footer"/>
    <w:basedOn w:val="Normal"/>
    <w:link w:val="FooterChar"/>
    <w:uiPriority w:val="99"/>
    <w:rsid w:val="009A1E26"/>
    <w:pPr>
      <w:suppressLineNumbers/>
      <w:tabs>
        <w:tab w:val="center" w:pos="4818"/>
        <w:tab w:val="right" w:pos="9637"/>
      </w:tabs>
    </w:pPr>
  </w:style>
  <w:style w:type="paragraph" w:styleId="Header">
    <w:name w:val="header"/>
    <w:basedOn w:val="Normal"/>
    <w:link w:val="HeaderChar"/>
    <w:semiHidden/>
    <w:rsid w:val="009A1E26"/>
    <w:pPr>
      <w:suppressLineNumbers/>
      <w:tabs>
        <w:tab w:val="center" w:pos="4818"/>
        <w:tab w:val="right" w:pos="9637"/>
      </w:tabs>
    </w:pPr>
  </w:style>
  <w:style w:type="paragraph" w:customStyle="1" w:styleId="Quotations">
    <w:name w:val="Quotations"/>
    <w:basedOn w:val="Normal"/>
    <w:rsid w:val="009A1E26"/>
    <w:pPr>
      <w:pBdr>
        <w:top w:val="single" w:sz="1" w:space="7" w:color="C0C0C0"/>
        <w:left w:val="single" w:sz="1" w:space="7" w:color="C0C0C0"/>
        <w:bottom w:val="single" w:sz="1" w:space="7" w:color="C0C0C0"/>
        <w:right w:val="single" w:sz="1" w:space="7" w:color="C0C0C0"/>
      </w:pBdr>
      <w:spacing w:after="283"/>
      <w:ind w:left="567" w:right="567"/>
    </w:pPr>
  </w:style>
  <w:style w:type="paragraph" w:styleId="FootnoteText">
    <w:name w:val="footnote text"/>
    <w:basedOn w:val="Normal"/>
    <w:link w:val="FootnoteTextChar"/>
    <w:rsid w:val="009A1E26"/>
    <w:pPr>
      <w:suppressLineNumbers/>
      <w:ind w:left="283" w:hanging="283"/>
    </w:pPr>
    <w:rPr>
      <w:sz w:val="20"/>
      <w:szCs w:val="20"/>
    </w:rPr>
  </w:style>
  <w:style w:type="paragraph" w:styleId="EndnoteText">
    <w:name w:val="endnote text"/>
    <w:basedOn w:val="Normal"/>
    <w:link w:val="EndnoteTextChar"/>
    <w:uiPriority w:val="99"/>
    <w:semiHidden/>
    <w:unhideWhenUsed/>
    <w:rsid w:val="00915698"/>
    <w:rPr>
      <w:sz w:val="20"/>
      <w:szCs w:val="20"/>
    </w:rPr>
  </w:style>
  <w:style w:type="character" w:customStyle="1" w:styleId="EndnoteTextChar">
    <w:name w:val="Endnote Text Char"/>
    <w:basedOn w:val="DefaultParagraphFont"/>
    <w:link w:val="EndnoteText"/>
    <w:uiPriority w:val="99"/>
    <w:semiHidden/>
    <w:rsid w:val="00915698"/>
  </w:style>
  <w:style w:type="paragraph" w:styleId="DocumentMap">
    <w:name w:val="Document Map"/>
    <w:basedOn w:val="Normal"/>
    <w:link w:val="DocumentMapChar"/>
    <w:uiPriority w:val="99"/>
    <w:semiHidden/>
    <w:unhideWhenUsed/>
    <w:rsid w:val="005B7C84"/>
    <w:rPr>
      <w:rFonts w:ascii="Tahoma" w:hAnsi="Tahoma" w:cs="Tahoma"/>
      <w:sz w:val="16"/>
      <w:szCs w:val="16"/>
    </w:rPr>
  </w:style>
  <w:style w:type="character" w:customStyle="1" w:styleId="DocumentMapChar">
    <w:name w:val="Document Map Char"/>
    <w:basedOn w:val="DefaultParagraphFont"/>
    <w:link w:val="DocumentMap"/>
    <w:uiPriority w:val="99"/>
    <w:semiHidden/>
    <w:rsid w:val="005B7C84"/>
    <w:rPr>
      <w:rFonts w:ascii="Tahoma" w:hAnsi="Tahoma" w:cs="Tahoma"/>
      <w:sz w:val="16"/>
      <w:szCs w:val="16"/>
    </w:rPr>
  </w:style>
  <w:style w:type="character" w:customStyle="1" w:styleId="FooterChar">
    <w:name w:val="Footer Char"/>
    <w:basedOn w:val="DefaultParagraphFont"/>
    <w:link w:val="Footer"/>
    <w:uiPriority w:val="99"/>
    <w:rsid w:val="00D45673"/>
  </w:style>
  <w:style w:type="paragraph" w:styleId="BalloonText">
    <w:name w:val="Balloon Text"/>
    <w:basedOn w:val="Normal"/>
    <w:link w:val="BalloonTextChar"/>
    <w:uiPriority w:val="99"/>
    <w:semiHidden/>
    <w:unhideWhenUsed/>
    <w:rsid w:val="007B50C2"/>
    <w:rPr>
      <w:rFonts w:ascii="Tahoma" w:hAnsi="Tahoma" w:cs="Tahoma"/>
      <w:sz w:val="16"/>
      <w:szCs w:val="16"/>
    </w:rPr>
  </w:style>
  <w:style w:type="character" w:customStyle="1" w:styleId="BalloonTextChar">
    <w:name w:val="Balloon Text Char"/>
    <w:basedOn w:val="DefaultParagraphFont"/>
    <w:link w:val="BalloonText"/>
    <w:uiPriority w:val="99"/>
    <w:semiHidden/>
    <w:rsid w:val="007B50C2"/>
    <w:rPr>
      <w:rFonts w:ascii="Tahoma" w:hAnsi="Tahoma" w:cs="Tahoma"/>
      <w:sz w:val="16"/>
      <w:szCs w:val="16"/>
    </w:rPr>
  </w:style>
  <w:style w:type="character" w:customStyle="1" w:styleId="Heading1Char">
    <w:name w:val="Heading 1 Char"/>
    <w:basedOn w:val="DefaultParagraphFont"/>
    <w:link w:val="Heading1"/>
    <w:uiPriority w:val="9"/>
    <w:rsid w:val="00D178DC"/>
    <w:rPr>
      <w:rFonts w:ascii="Thorndale" w:eastAsia="HG Mincho Light J" w:hAnsi="Thorndale" w:cs="Arial Unicode MS"/>
      <w:b/>
      <w:bCs/>
      <w:sz w:val="32"/>
      <w:szCs w:val="32"/>
    </w:rPr>
  </w:style>
  <w:style w:type="character" w:customStyle="1" w:styleId="Heading2Char">
    <w:name w:val="Heading 2 Char"/>
    <w:basedOn w:val="DefaultParagraphFont"/>
    <w:link w:val="Heading2"/>
    <w:uiPriority w:val="9"/>
    <w:rsid w:val="00D178DC"/>
    <w:rPr>
      <w:rFonts w:ascii="Albany" w:eastAsia="HG Mincho Light J" w:hAnsi="Albany" w:cs="Arial Unicode MS"/>
      <w:b/>
      <w:bCs/>
      <w:i/>
      <w:iCs/>
      <w:sz w:val="28"/>
      <w:szCs w:val="28"/>
    </w:rPr>
  </w:style>
  <w:style w:type="character" w:customStyle="1" w:styleId="HeaderChar">
    <w:name w:val="Header Char"/>
    <w:basedOn w:val="DefaultParagraphFont"/>
    <w:link w:val="Header"/>
    <w:uiPriority w:val="99"/>
    <w:semiHidden/>
    <w:rsid w:val="00D178DC"/>
    <w:rPr>
      <w:sz w:val="24"/>
      <w:szCs w:val="24"/>
    </w:rPr>
  </w:style>
  <w:style w:type="table" w:styleId="TableGrid">
    <w:name w:val="Table Grid"/>
    <w:basedOn w:val="TableNormal"/>
    <w:rsid w:val="00D178DC"/>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rsid w:val="00D178DC"/>
    <w:rPr>
      <w:sz w:val="24"/>
      <w:szCs w:val="24"/>
    </w:rPr>
  </w:style>
  <w:style w:type="character" w:customStyle="1" w:styleId="FootnoteTextChar">
    <w:name w:val="Footnote Text Char"/>
    <w:basedOn w:val="DefaultParagraphFont"/>
    <w:link w:val="FootnoteText"/>
    <w:uiPriority w:val="99"/>
    <w:rsid w:val="00D178DC"/>
  </w:style>
  <w:style w:type="character" w:styleId="CommentReference">
    <w:name w:val="annotation reference"/>
    <w:basedOn w:val="DefaultParagraphFont"/>
    <w:uiPriority w:val="99"/>
    <w:semiHidden/>
    <w:unhideWhenUsed/>
    <w:rsid w:val="00D178DC"/>
    <w:rPr>
      <w:sz w:val="16"/>
      <w:szCs w:val="16"/>
    </w:rPr>
  </w:style>
  <w:style w:type="paragraph" w:styleId="CommentText">
    <w:name w:val="annotation text"/>
    <w:basedOn w:val="Normal"/>
    <w:link w:val="CommentTextChar"/>
    <w:uiPriority w:val="99"/>
    <w:semiHidden/>
    <w:unhideWhenUsed/>
    <w:rsid w:val="00D178DC"/>
    <w:pPr>
      <w:widowControl/>
      <w:suppressAutoHyphens w:val="0"/>
      <w:spacing w:after="200" w:line="276" w:lineRule="auto"/>
    </w:pPr>
    <w:rPr>
      <w:rFonts w:eastAsia="Calibri"/>
      <w:sz w:val="20"/>
      <w:szCs w:val="20"/>
      <w:lang w:val="en-GB"/>
    </w:rPr>
  </w:style>
  <w:style w:type="character" w:customStyle="1" w:styleId="CommentTextChar">
    <w:name w:val="Comment Text Char"/>
    <w:basedOn w:val="DefaultParagraphFont"/>
    <w:link w:val="CommentText"/>
    <w:uiPriority w:val="99"/>
    <w:semiHidden/>
    <w:rsid w:val="00D178DC"/>
    <w:rPr>
      <w:rFonts w:eastAsia="Calibri"/>
      <w:lang w:val="en-GB"/>
    </w:rPr>
  </w:style>
  <w:style w:type="paragraph" w:styleId="CommentSubject">
    <w:name w:val="annotation subject"/>
    <w:basedOn w:val="CommentText"/>
    <w:next w:val="CommentText"/>
    <w:link w:val="CommentSubjectChar"/>
    <w:uiPriority w:val="99"/>
    <w:semiHidden/>
    <w:unhideWhenUsed/>
    <w:rsid w:val="00D178DC"/>
    <w:rPr>
      <w:b/>
      <w:bCs/>
    </w:rPr>
  </w:style>
  <w:style w:type="character" w:customStyle="1" w:styleId="CommentSubjectChar">
    <w:name w:val="Comment Subject Char"/>
    <w:basedOn w:val="CommentTextChar"/>
    <w:link w:val="CommentSubject"/>
    <w:uiPriority w:val="99"/>
    <w:semiHidden/>
    <w:rsid w:val="00D178DC"/>
    <w:rPr>
      <w:b/>
      <w:bCs/>
    </w:rPr>
  </w:style>
  <w:style w:type="character" w:customStyle="1" w:styleId="Heading3Char">
    <w:name w:val="Heading 3 Char"/>
    <w:basedOn w:val="DefaultParagraphFont"/>
    <w:link w:val="Heading3"/>
    <w:rsid w:val="00D178DC"/>
    <w:rPr>
      <w:rFonts w:ascii="Albany" w:eastAsia="HG Mincho Light J" w:hAnsi="Albany" w:cs="Arial Unicode MS"/>
      <w:b/>
      <w:bCs/>
      <w:sz w:val="26"/>
      <w:szCs w:val="26"/>
    </w:rPr>
  </w:style>
  <w:style w:type="character" w:customStyle="1" w:styleId="Heading4Char">
    <w:name w:val="Heading 4 Char"/>
    <w:basedOn w:val="DefaultParagraphFont"/>
    <w:link w:val="Heading4"/>
    <w:rsid w:val="00D178DC"/>
    <w:rPr>
      <w:rFonts w:ascii="Albany" w:eastAsia="HG Mincho Light J" w:hAnsi="Albany" w:cs="Arial Unicode MS"/>
      <w:b/>
      <w:bCs/>
      <w:i/>
      <w:iCs/>
      <w:sz w:val="24"/>
      <w:szCs w:val="24"/>
    </w:rPr>
  </w:style>
  <w:style w:type="character" w:customStyle="1" w:styleId="Heading5Char">
    <w:name w:val="Heading 5 Char"/>
    <w:basedOn w:val="DefaultParagraphFont"/>
    <w:link w:val="Heading5"/>
    <w:rsid w:val="00D178DC"/>
    <w:rPr>
      <w:rFonts w:ascii="Albany" w:eastAsia="HG Mincho Light J" w:hAnsi="Albany" w:cs="Arial Unicode MS"/>
      <w:b/>
      <w:bCs/>
      <w:sz w:val="22"/>
      <w:szCs w:val="22"/>
    </w:rPr>
  </w:style>
  <w:style w:type="character" w:customStyle="1" w:styleId="Heading6Char">
    <w:name w:val="Heading 6 Char"/>
    <w:basedOn w:val="DefaultParagraphFont"/>
    <w:link w:val="Heading6"/>
    <w:rsid w:val="00D178DC"/>
    <w:rPr>
      <w:rFonts w:ascii="Albany" w:eastAsia="HG Mincho Light J" w:hAnsi="Albany" w:cs="Arial Unicode MS"/>
      <w:b/>
      <w:bCs/>
    </w:rPr>
  </w:style>
  <w:style w:type="numbering" w:customStyle="1" w:styleId="NoList1">
    <w:name w:val="No List1"/>
    <w:next w:val="NoList"/>
    <w:uiPriority w:val="99"/>
    <w:semiHidden/>
    <w:unhideWhenUsed/>
    <w:rsid w:val="00D178DC"/>
  </w:style>
  <w:style w:type="table" w:customStyle="1" w:styleId="TableGrid1">
    <w:name w:val="Table Grid1"/>
    <w:basedOn w:val="TableNormal"/>
    <w:next w:val="TableGrid"/>
    <w:uiPriority w:val="59"/>
    <w:rsid w:val="00D178DC"/>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D178DC"/>
    <w:rPr>
      <w:rFonts w:ascii="Times New Roman" w:hAnsi="Times New Roman"/>
    </w:rPr>
  </w:style>
  <w:style w:type="character" w:customStyle="1" w:styleId="c03">
    <w:name w:val="c03"/>
    <w:basedOn w:val="DefaultParagraphFont"/>
    <w:rsid w:val="00D178DC"/>
  </w:style>
  <w:style w:type="character" w:customStyle="1" w:styleId="boldtext">
    <w:name w:val="boldtext"/>
    <w:basedOn w:val="DefaultParagraphFont"/>
    <w:rsid w:val="00D178DC"/>
  </w:style>
  <w:style w:type="character" w:customStyle="1" w:styleId="bodytext0">
    <w:name w:val="bodytext"/>
    <w:basedOn w:val="DefaultParagraphFont"/>
    <w:rsid w:val="00D178D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0140660F-0269-46FA-9518-92DFFA477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11692</Words>
  <Characters>66647</Characters>
  <Application>Microsoft Office Word</Application>
  <DocSecurity>0</DocSecurity>
  <Lines>555</Lines>
  <Paragraphs>156</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
      <vt:lpstr/>
      <vt:lpstr/>
      <vt:lpstr/>
      <vt:lpstr/>
      <vt:lpstr/>
      <vt:lpstr>Chapter Five:</vt:lpstr>
      <vt:lpstr>Mothering the Protestant Circle</vt:lpstr>
      <vt:lpstr/>
      <vt:lpstr/>
      <vt:lpstr/>
      <vt:lpstr/>
      <vt:lpstr/>
      <vt:lpstr/>
      <vt:lpstr/>
      <vt:lpstr/>
      <vt:lpstr/>
      <vt:lpstr>Protestant Perceptions of Childhood</vt:lpstr>
      <vt:lpstr/>
      <vt:lpstr>Mothering the Mosaic Family</vt:lpstr>
      <vt:lpstr/>
      <vt:lpstr/>
      <vt:lpstr/>
      <vt:lpstr>Mothering as a Form of Capital</vt:lpstr>
      <vt:lpstr/>
      <vt:lpstr/>
      <vt:lpstr>The Mother as Educator</vt:lpstr>
      <vt:lpstr/>
      <vt:lpstr>Mothering and Religious Development</vt:lpstr>
      <vt:lpstr/>
    </vt:vector>
  </TitlesOfParts>
  <Company/>
  <LinksUpToDate>false</LinksUpToDate>
  <CharactersWithSpaces>78183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dc:creator>
  <cp:keywords/>
  <cp:lastModifiedBy>Christine 2</cp:lastModifiedBy>
  <cp:revision>11</cp:revision>
  <cp:lastPrinted>2113-01-01T00:00:00Z</cp:lastPrinted>
  <dcterms:created xsi:type="dcterms:W3CDTF">2008-11-27T21:54:00Z</dcterms:created>
  <dcterms:modified xsi:type="dcterms:W3CDTF">2009-06-02T19:44:00Z</dcterms:modified>
</cp:coreProperties>
</file>